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康复评定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学》专升本考试大纲</w:t>
      </w:r>
      <w:bookmarkEnd w:id="0"/>
    </w:p>
    <w:p>
      <w:pPr>
        <w:spacing w:line="480" w:lineRule="exact"/>
        <w:jc w:val="center"/>
        <w:rPr>
          <w:rFonts w:ascii="Times New Roman" w:hAnsi="Times New Roman" w:eastAsia="Arial Unicode MS" w:cs="Times New Roman"/>
          <w:color w:val="000000"/>
          <w:kern w:val="0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《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康复功能评定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学》</w:t>
      </w:r>
    </w:p>
    <w:p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>
      <w:pPr>
        <w:pStyle w:val="4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>
      <w:pPr>
        <w:ind w:firstLine="482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sz w:val="32"/>
          <w:szCs w:val="21"/>
        </w:rPr>
        <w:t>分值</w:t>
      </w: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</w:p>
    <w:p>
      <w:pPr>
        <w:pStyle w:val="4"/>
        <w:shd w:val="clear" w:color="auto" w:fill="FFFFFF"/>
        <w:spacing w:before="0" w:beforeAutospacing="0" w:after="0" w:afterAutospacing="0" w:line="440" w:lineRule="atLeast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无选择题，无判断题，其他题型不限</w:t>
      </w:r>
    </w:p>
    <w:p>
      <w:pPr>
        <w:pStyle w:val="4"/>
        <w:shd w:val="clear" w:color="auto" w:fill="FFFFFF"/>
        <w:spacing w:before="0" w:beforeAutospacing="0" w:after="0" w:afterAutospacing="0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六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功能评定是康复治疗学中的一项最基本的专业技能，是制订出好的治疗计划的基础。只有通过全面的、系统的和详尽记录的康复评定，才有可能确定病人的具体问题，制定相应的干预计划。评定可提供有关的信息，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应</w:t>
      </w:r>
      <w:r>
        <w:rPr>
          <w:rFonts w:hint="eastAsia" w:ascii="仿宋" w:hAnsi="仿宋" w:eastAsia="仿宋" w:cs="仿宋"/>
          <w:kern w:val="0"/>
          <w:sz w:val="32"/>
          <w:szCs w:val="32"/>
        </w:rPr>
        <w:t>对治疗过程进行比较和评估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帮助</w:t>
      </w:r>
      <w:r>
        <w:rPr>
          <w:rFonts w:hint="eastAsia" w:ascii="仿宋" w:hAnsi="仿宋" w:eastAsia="仿宋" w:cs="仿宋"/>
          <w:kern w:val="0"/>
          <w:sz w:val="32"/>
          <w:szCs w:val="32"/>
        </w:rPr>
        <w:t>病人、治疗师和医生清楚的了解病情是在好转、恶化还是维持原状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并对如何进一步进行治疗、是否应改变或停止治疗作出合理的决定。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 w:cs="仿宋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本课程主要考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kern w:val="0"/>
          <w:sz w:val="32"/>
          <w:szCs w:val="32"/>
        </w:rPr>
        <w:t>学生能够系统地了解康复评定的基本概念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掌握</w:t>
      </w:r>
      <w:r>
        <w:rPr>
          <w:rFonts w:hint="eastAsia" w:ascii="仿宋" w:hAnsi="仿宋" w:eastAsia="仿宋" w:cs="仿宋"/>
          <w:kern w:val="0"/>
          <w:sz w:val="32"/>
          <w:szCs w:val="32"/>
        </w:rPr>
        <w:t>最常用的康复评定及目前临床上通用的一些评估量表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为后期康复治疗学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kern w:val="0"/>
          <w:sz w:val="32"/>
          <w:szCs w:val="32"/>
        </w:rPr>
        <w:t>临床课程学习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及临床康复治疗工作</w:t>
      </w:r>
      <w:r>
        <w:rPr>
          <w:rFonts w:hint="eastAsia" w:ascii="仿宋" w:hAnsi="仿宋" w:eastAsia="仿宋" w:cs="仿宋"/>
          <w:kern w:val="0"/>
          <w:sz w:val="32"/>
          <w:szCs w:val="32"/>
        </w:rPr>
        <w:t>打下坚实的基础。</w:t>
      </w:r>
    </w:p>
    <w:p/>
    <w:p>
      <w:pPr>
        <w:pStyle w:val="4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</w:t>
      </w: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en-US" w:eastAsia="zh-CN"/>
        </w:rPr>
        <w:t>范围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第一章 总论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掌握：1.康复评定的定义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目的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和意义；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障碍学诊断的三个层面；</w:t>
      </w:r>
    </w:p>
    <w:p>
      <w:pPr>
        <w:widowControl/>
        <w:spacing w:line="440" w:lineRule="atLeast"/>
        <w:ind w:firstLine="1600" w:firstLineChars="500"/>
        <w:rPr>
          <w:rFonts w:hint="eastAsia" w:eastAsia="仿宋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康复评定的类型与方法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人体形态评定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掌握：1.常见的异常姿势及其评定，异常姿势的影响；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人体形态评定的内容；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成年人的体型分型；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.身体成分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体格评定。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第三章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神经系统反射评定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1.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其他常用反射的检查方法及其临床意义、反射的分类和评定目的。</w:t>
      </w:r>
    </w:p>
    <w:p>
      <w:pPr>
        <w:widowControl/>
        <w:spacing w:line="440" w:lineRule="atLeast"/>
        <w:ind w:firstLine="1600" w:firstLineChars="5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脊髓水平、脑干水平、中脑水平、大脑水平反射的评估方法及其反应、临床意义。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第四章 心肺功能评定</w:t>
      </w:r>
    </w:p>
    <w:p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掌握：1.运动试验的基本原理；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.心电运动试验的应用范畴、适应证、禁忌证；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.气体代谢测定方法、运动方案及临床应用；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.代谢当量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的定义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5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.主观呼吸功能障碍程度评定；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6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.肺容量、肺通气量的测定。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第五章 感知和认知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掌握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：1.感知障碍失认症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失用症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2.认知障碍注意障碍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与记忆障碍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评定；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第六章 言语-语言功能评定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：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1.言语-语言功能评定程序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常用标准化诊断量表；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.构音障碍评定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常用标准化诊断量表方法。</w:t>
      </w:r>
    </w:p>
    <w:p>
      <w:pPr>
        <w:widowControl/>
        <w:spacing w:line="440" w:lineRule="atLeast"/>
        <w:ind w:firstLine="1600" w:firstLineChars="5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失语症评定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意义。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第七章 感觉功能评定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掌握：1.浅感觉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深感觉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复合感觉检查；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感觉功能评定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注意事项。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第八章 肌张力评定</w:t>
      </w:r>
    </w:p>
    <w:p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掌握：1.肌张力评定的定义、正常特征、评定目的；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2.正常肌张力分类；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3.临床常见的肌张力异常表现：痉挛、僵硬、肌张力障碍、肌张力弛缓的定义、原因和特征；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4.痉挛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临床意义：痉挛的益处和弊端；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5.影响肌张力的因素；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6.肌张力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评定的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第九章 肌力评定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掌握：1.决定肌力大小的因素；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2.肌肉收缩的生理类型；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3.肌力评定的原则和分类。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4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.肌力评定的定义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评定目的；</w:t>
      </w:r>
    </w:p>
    <w:p>
      <w:pPr>
        <w:widowControl/>
        <w:spacing w:line="440" w:lineRule="atLeast"/>
        <w:ind w:firstLine="1600" w:firstLineChars="5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5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.肌力评定适应证和禁忌证。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第十章 关节活动度评定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掌握：1.关节活动范围异常的原因；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2.关节活动度评定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关节活动度评定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与目的。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第十一章 协调与平衡功能评定</w:t>
      </w:r>
    </w:p>
    <w:p>
      <w:pPr>
        <w:widowControl/>
        <w:spacing w:line="440" w:lineRule="atLeast"/>
        <w:rPr>
          <w:rFonts w:hint="default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  <w:t>一、协调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掌握：1.协调的定义；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2.常见协调障碍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类型、发生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机制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与临床表现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协调与平衡功能评定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>
      <w:pPr>
        <w:widowControl/>
        <w:spacing w:line="440" w:lineRule="atLeast"/>
        <w:rPr>
          <w:b/>
          <w:bCs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21"/>
          <w:lang w:val="en-US" w:eastAsia="zh-CN"/>
        </w:rPr>
        <w:t>二、</w:t>
      </w:r>
      <w:r>
        <w:rPr>
          <w:rFonts w:ascii="Times New Roman" w:hAnsi="Times New Roman" w:eastAsia="仿宋" w:cs="Times New Roman"/>
          <w:b/>
          <w:bCs/>
          <w:color w:val="000000"/>
          <w:sz w:val="32"/>
          <w:szCs w:val="21"/>
        </w:rPr>
        <w:t>平衡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掌握：1.平衡、支持面、稳定极限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的定义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；</w:t>
      </w:r>
    </w:p>
    <w:p>
      <w:pPr>
        <w:widowControl/>
        <w:numPr>
          <w:ilvl w:val="0"/>
          <w:numId w:val="0"/>
        </w:numPr>
        <w:spacing w:line="440" w:lineRule="atLeast"/>
        <w:ind w:left="1600" w:leftChars="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维持平衡的生理机制的概念；</w:t>
      </w:r>
    </w:p>
    <w:p>
      <w:pPr>
        <w:widowControl/>
        <w:numPr>
          <w:ilvl w:val="0"/>
          <w:numId w:val="0"/>
        </w:numPr>
        <w:spacing w:line="440" w:lineRule="atLeast"/>
        <w:ind w:firstLine="1600" w:firstLineChars="5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平衡功能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适应证和禁忌证。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第十二章 步态分析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掌握：1.自然步态的生物力学因素；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</w:t>
      </w:r>
      <w:bookmarkStart w:id="1" w:name="_GoBack"/>
      <w:bookmarkEnd w:id="1"/>
      <w:r>
        <w:rPr>
          <w:rFonts w:ascii="Times New Roman" w:hAnsi="Times New Roman" w:eastAsia="仿宋" w:cs="Times New Roman"/>
          <w:color w:val="000000"/>
          <w:sz w:val="32"/>
          <w:szCs w:val="21"/>
        </w:rPr>
        <w:t>步行周期：支撑相与摆动相，时空参数特征；</w:t>
      </w:r>
    </w:p>
    <w:p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3.异常步态的相关内容。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第十三章 电诊断</w:t>
      </w:r>
    </w:p>
    <w:p>
      <w:pPr>
        <w:ind w:firstLine="640" w:firstLineChars="200"/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1.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神经电图(感觉神经传导速度、运动神经传导速度、重复频率刺激、F波、H反应和瞬目反射)检查的原理、意义和应用；</w:t>
      </w:r>
    </w:p>
    <w:p>
      <w:pPr>
        <w:widowControl/>
        <w:spacing w:line="440" w:lineRule="atLeast"/>
        <w:ind w:firstLine="1280" w:firstLineChars="400"/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2.电刺激式电诊断(直流感应电诊断、时间强度曲线检查)的原理、意义和应用。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第十四章 日常生活活动能力评定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掌握：1.日常生活活动能力的定义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内容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评定方法；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.常用评定量表种类；</w:t>
      </w:r>
    </w:p>
    <w:p>
      <w:pPr>
        <w:widowControl/>
        <w:spacing w:line="440" w:lineRule="atLeast"/>
        <w:ind w:firstLine="1600" w:firstLineChars="500"/>
        <w:rPr>
          <w:rFonts w:hint="default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.Barthel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量表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指数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及具体内容。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第十五章 生存质量评定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zh-CN"/>
        </w:rPr>
        <w:t>生存质量评定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定义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目的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临床应用。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第十六章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环境评定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掌握：1.环境评定的有关概念；</w:t>
      </w:r>
    </w:p>
    <w:p>
      <w:pPr>
        <w:widowControl/>
        <w:spacing w:line="440" w:lineRule="atLeast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 xml:space="preserve">          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2.环境评定的依据、原则。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第十七章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常见骨关节疾病评定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掌握：1.评定手部肌力、关节活动度及感觉功能的常用量表；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2.颈椎病、肩周炎、腰椎间盘突出症、膝关节炎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的概念、临床表现和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常用的评估量表。</w:t>
      </w:r>
    </w:p>
    <w:p>
      <w:pPr>
        <w:widowControl/>
        <w:spacing w:line="440" w:lineRule="atLeast"/>
        <w:ind w:firstLine="1600" w:firstLineChars="500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3.颈椎病的分型及临床表现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第十八章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常见神经疾病评定</w:t>
      </w:r>
    </w:p>
    <w:p>
      <w:pPr>
        <w:widowControl/>
        <w:spacing w:line="440" w:lineRule="atLeast"/>
        <w:ind w:firstLine="640" w:firstLineChars="200"/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概念：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联合反应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共同运动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2.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偏瘫、脊髓损伤、周围神经损伤常用的康复功能评定量表。</w:t>
      </w:r>
    </w:p>
    <w:p>
      <w:pPr>
        <w:widowControl/>
        <w:spacing w:line="440" w:lineRule="atLeast"/>
        <w:ind w:left="0" w:leftChars="0" w:firstLine="1619" w:firstLineChars="506"/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</w:pP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3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.偏瘫、脊髓损伤、周围神经损伤临床表现。</w:t>
      </w:r>
    </w:p>
    <w:p>
      <w:pPr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第十九章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常见心肺疾病评定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掌握：1.慢性心力衰竭病人康复评定的方法及心力衰竭的分级；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2.冠心病康复评定的方法、心脏功能分级及治疗分级；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3.慢性阻塞性肺疾病的评定方法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严重程度分级；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常见儿童疾病评定</w:t>
      </w:r>
    </w:p>
    <w:p>
      <w:pPr>
        <w:ind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掌握：脑性瘫痪、智力发育迟缓、感觉统合障碍、孤独症的临床表现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诊断标准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常用评估量表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eastAsia="zh-CN"/>
        </w:rPr>
        <w:t>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第二十一章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老年疾病康复评定</w:t>
      </w:r>
    </w:p>
    <w:p>
      <w:pPr>
        <w:widowControl/>
        <w:spacing w:line="440" w:lineRule="atLeast"/>
        <w:ind w:firstLine="640" w:firstLineChars="200"/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掌握：老年性痴呆、帕金森病、糖尿病足的临床表现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eastAsia="zh-CN"/>
        </w:rPr>
        <w:t>、</w:t>
      </w: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诊断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标准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  <w:lang w:val="en-US" w:eastAsia="zh-CN"/>
        </w:rPr>
        <w:t>与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常用评估量表。</w:t>
      </w:r>
    </w:p>
    <w:p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第二十二章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康复常见并发症评定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掌握：1.压疮、疼痛、吞咽障碍的临床表现及诊断标准；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2.压疮、疼痛的常用评估量表：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3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21"/>
          <w:lang w:eastAsia="zh-CN"/>
        </w:rPr>
        <w:t>.</w:t>
      </w:r>
      <w:r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  <w:t>吞咽障碍评定意义；</w:t>
      </w:r>
    </w:p>
    <w:p>
      <w:pPr>
        <w:widowControl/>
        <w:spacing w:line="440" w:lineRule="atLeast"/>
        <w:ind w:firstLine="1600" w:firstLineChars="500"/>
        <w:rPr>
          <w:rFonts w:ascii="Times New Roman" w:hAnsi="Times New Roman" w:eastAsia="仿宋" w:cs="Times New Roman"/>
          <w:b w:val="0"/>
          <w:bCs w:val="0"/>
          <w:color w:val="000000"/>
          <w:sz w:val="32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altName w:val="宋体"/>
    <w:panose1 w:val="020B06040200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E32DC"/>
    <w:rsid w:val="0A300E8B"/>
    <w:rsid w:val="287C746C"/>
    <w:rsid w:val="2E5A7DB2"/>
    <w:rsid w:val="366E1631"/>
    <w:rsid w:val="5C711BF4"/>
    <w:rsid w:val="5D496874"/>
    <w:rsid w:val="601E0542"/>
    <w:rsid w:val="63ED6137"/>
    <w:rsid w:val="785C26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1917</Words>
  <Characters>1999</Characters>
  <Paragraphs>144</Paragraphs>
  <TotalTime>5</TotalTime>
  <ScaleCrop>false</ScaleCrop>
  <LinksUpToDate>false</LinksUpToDate>
  <CharactersWithSpaces>2034</CharactersWithSpaces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2025-02-14T08:06:00Z</dcterms:created>
  <dc:creator>24117RK2CC</dc:creator>
  <cp:lastModifiedBy>闲居</cp:lastModifiedBy>
  <dcterms:modified xsi:type="dcterms:W3CDTF">2025-02-17T01:16:47Z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5160b0f32b6e4c64913b1b60b5f35495_21</vt:lpwstr>
  </property>
  <property fmtid="{D5CDD505-2E9C-101B-9397-08002B2CF9AE}" pid="3" name="KSOTemplateDocerSaveRecord">
    <vt:lpwstr>eyJoZGlkIjoiZTA4NzIyN2MxYTlmMzQ1NGE2MjU5NWRkMjhlOGMxYTAifQ==</vt:lpwstr>
  </property>
  <property fmtid="{D5CDD505-2E9C-101B-9397-08002B2CF9AE}" pid="4" name="KSOProductBuildVer">
    <vt:lpwstr>2052-11.8.2.8411</vt:lpwstr>
  </property>
</Properties>
</file>