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3B2ED2" w14:textId="77777777" w:rsidR="00BE036E" w:rsidRDefault="00000000" w:rsidP="00017A73">
      <w:pPr>
        <w:spacing w:line="480" w:lineRule="exact"/>
        <w:jc w:val="center"/>
        <w:rPr>
          <w:rFonts w:ascii="方正小标宋简体" w:eastAsia="方正小标宋简体" w:hAnsi="仿宋" w:cs="Times New Roman" w:hint="eastAsia"/>
          <w:color w:val="000000"/>
          <w:kern w:val="0"/>
          <w:sz w:val="44"/>
          <w:szCs w:val="44"/>
        </w:rPr>
      </w:pPr>
      <w:r>
        <w:rPr>
          <w:rFonts w:ascii="方正小标宋简体" w:eastAsia="方正小标宋简体" w:hAnsi="仿宋" w:cs="Times New Roman" w:hint="eastAsia"/>
          <w:color w:val="000000"/>
          <w:kern w:val="0"/>
          <w:sz w:val="44"/>
          <w:szCs w:val="44"/>
        </w:rPr>
        <w:t>《电路分析基础》专升本考试大纲</w:t>
      </w:r>
    </w:p>
    <w:p w14:paraId="277FF4CC" w14:textId="77777777" w:rsidR="00BE036E" w:rsidRDefault="00BE036E" w:rsidP="00532CE5">
      <w:pPr>
        <w:spacing w:line="480" w:lineRule="exact"/>
        <w:rPr>
          <w:rFonts w:ascii="方正小标宋简体" w:eastAsia="方正小标宋简体" w:hAnsi="仿宋" w:cs="Times New Roman" w:hint="eastAsia"/>
          <w:color w:val="000000"/>
          <w:kern w:val="0"/>
          <w:sz w:val="44"/>
          <w:szCs w:val="44"/>
        </w:rPr>
      </w:pPr>
    </w:p>
    <w:p w14:paraId="72DF0D06" w14:textId="77777777" w:rsidR="00BE036E" w:rsidRDefault="00000000" w:rsidP="00F73965">
      <w:pPr>
        <w:pStyle w:val="a6"/>
        <w:spacing w:before="0" w:beforeAutospacing="0" w:after="0" w:afterAutospacing="0"/>
        <w:ind w:firstLineChars="200" w:firstLine="640"/>
        <w:jc w:val="both"/>
        <w:rPr>
          <w:rFonts w:ascii="仿宋" w:eastAsia="仿宋" w:hAnsi="仿宋" w:cs="Times New Roman" w:hint="eastAsia"/>
          <w:color w:val="000000"/>
          <w:sz w:val="32"/>
          <w:szCs w:val="21"/>
          <w:lang w:val="zh-CN"/>
        </w:rPr>
      </w:pPr>
      <w:r>
        <w:rPr>
          <w:rFonts w:ascii="黑体" w:eastAsia="黑体" w:hAnsi="黑体" w:cs="Times New Roman" w:hint="eastAsia"/>
          <w:color w:val="000000"/>
          <w:kern w:val="2"/>
          <w:sz w:val="32"/>
          <w:szCs w:val="21"/>
          <w:lang w:val="zh-CN"/>
        </w:rPr>
        <w:t>一、考试科目：</w:t>
      </w:r>
      <w:r>
        <w:rPr>
          <w:rFonts w:ascii="仿宋" w:eastAsia="仿宋" w:hAnsi="仿宋" w:cs="Times New Roman" w:hint="eastAsia"/>
          <w:color w:val="000000"/>
          <w:sz w:val="32"/>
          <w:szCs w:val="21"/>
          <w:lang w:val="zh-CN"/>
        </w:rPr>
        <w:t>《电路分析基础》</w:t>
      </w:r>
    </w:p>
    <w:p w14:paraId="720393FD" w14:textId="77777777" w:rsidR="00BE036E" w:rsidRDefault="00000000" w:rsidP="00F73965">
      <w:pPr>
        <w:pStyle w:val="a6"/>
        <w:shd w:val="clear" w:color="auto" w:fill="FFFFFF"/>
        <w:spacing w:before="0" w:beforeAutospacing="0" w:after="0" w:afterAutospacing="0"/>
        <w:ind w:firstLineChars="200" w:firstLine="640"/>
        <w:jc w:val="both"/>
        <w:rPr>
          <w:rFonts w:ascii="仿宋" w:eastAsia="仿宋" w:hAnsi="仿宋" w:cs="Times New Roman" w:hint="eastAsia"/>
          <w:color w:val="000000"/>
          <w:sz w:val="32"/>
          <w:szCs w:val="21"/>
          <w:lang w:val="zh-CN"/>
        </w:rPr>
      </w:pPr>
      <w:r>
        <w:rPr>
          <w:rFonts w:ascii="黑体" w:eastAsia="黑体" w:hAnsi="黑体" w:cs="Times New Roman" w:hint="eastAsia"/>
          <w:color w:val="000000"/>
          <w:kern w:val="2"/>
          <w:sz w:val="32"/>
          <w:szCs w:val="21"/>
          <w:lang w:val="zh-CN"/>
        </w:rPr>
        <w:t>二、考试方式：</w:t>
      </w:r>
      <w:r>
        <w:rPr>
          <w:rFonts w:ascii="仿宋" w:eastAsia="仿宋" w:hAnsi="仿宋" w:cs="Times New Roman" w:hint="eastAsia"/>
          <w:color w:val="000000"/>
          <w:sz w:val="32"/>
          <w:szCs w:val="21"/>
          <w:lang w:val="zh-CN"/>
        </w:rPr>
        <w:t>闭卷</w:t>
      </w:r>
    </w:p>
    <w:p w14:paraId="0E515802" w14:textId="77777777" w:rsidR="00BE036E" w:rsidRDefault="00000000" w:rsidP="00F73965">
      <w:pPr>
        <w:pStyle w:val="a6"/>
        <w:shd w:val="clear" w:color="auto" w:fill="FFFFFF"/>
        <w:spacing w:before="0" w:beforeAutospacing="0" w:after="0" w:afterAutospacing="0"/>
        <w:ind w:firstLineChars="200" w:firstLine="640"/>
        <w:jc w:val="both"/>
        <w:rPr>
          <w:rFonts w:ascii="仿宋" w:eastAsia="仿宋" w:hAnsi="仿宋" w:cs="Times New Roman" w:hint="eastAsia"/>
          <w:color w:val="000000"/>
          <w:sz w:val="32"/>
          <w:szCs w:val="21"/>
          <w:lang w:val="zh-CN"/>
        </w:rPr>
      </w:pPr>
      <w:r>
        <w:rPr>
          <w:rFonts w:ascii="黑体" w:eastAsia="黑体" w:hAnsi="黑体" w:cs="Times New Roman" w:hint="eastAsia"/>
          <w:color w:val="000000"/>
          <w:kern w:val="2"/>
          <w:sz w:val="32"/>
          <w:szCs w:val="21"/>
          <w:lang w:val="zh-CN"/>
        </w:rPr>
        <w:t>三、考试时间：</w:t>
      </w:r>
      <w:r>
        <w:rPr>
          <w:rFonts w:ascii="仿宋" w:eastAsia="仿宋" w:hAnsi="仿宋" w:cs="Times New Roman" w:hint="eastAsia"/>
          <w:color w:val="000000"/>
          <w:sz w:val="32"/>
          <w:szCs w:val="21"/>
        </w:rPr>
        <w:t>12</w:t>
      </w:r>
      <w:r>
        <w:rPr>
          <w:rFonts w:ascii="仿宋" w:eastAsia="仿宋" w:hAnsi="仿宋" w:cs="Times New Roman" w:hint="eastAsia"/>
          <w:color w:val="000000"/>
          <w:sz w:val="32"/>
          <w:szCs w:val="21"/>
          <w:lang w:val="zh-CN"/>
        </w:rPr>
        <w:t>0分钟</w:t>
      </w:r>
    </w:p>
    <w:p w14:paraId="61AA0B62" w14:textId="77777777" w:rsidR="00BE036E" w:rsidRDefault="00000000" w:rsidP="00F73965">
      <w:pPr>
        <w:spacing w:after="0"/>
        <w:ind w:firstLineChars="200" w:firstLine="640"/>
        <w:rPr>
          <w:rFonts w:ascii="仿宋" w:eastAsia="仿宋" w:hAnsi="仿宋" w:hint="eastAsia"/>
          <w:color w:val="000000"/>
          <w:kern w:val="0"/>
          <w:sz w:val="32"/>
          <w:szCs w:val="21"/>
          <w:lang w:val="zh-CN"/>
        </w:rPr>
      </w:pPr>
      <w:r>
        <w:rPr>
          <w:rFonts w:ascii="黑体" w:eastAsia="黑体" w:hAnsi="黑体" w:cs="Times New Roman" w:hint="eastAsia"/>
          <w:color w:val="000000"/>
          <w:sz w:val="32"/>
          <w:szCs w:val="21"/>
          <w:lang w:val="zh-CN"/>
        </w:rPr>
        <w:t>四、试卷</w:t>
      </w:r>
      <w:r>
        <w:rPr>
          <w:rFonts w:ascii="黑体" w:eastAsia="黑体" w:hAnsi="黑体" w:cs="Times New Roman" w:hint="eastAsia"/>
          <w:color w:val="000000"/>
          <w:sz w:val="32"/>
          <w:szCs w:val="21"/>
        </w:rPr>
        <w:t>分值</w:t>
      </w:r>
      <w:r>
        <w:rPr>
          <w:rFonts w:ascii="黑体" w:eastAsia="黑体" w:hAnsi="黑体" w:cs="Times New Roman" w:hint="eastAsia"/>
          <w:color w:val="000000"/>
          <w:sz w:val="32"/>
          <w:szCs w:val="21"/>
          <w:lang w:val="zh-CN"/>
        </w:rPr>
        <w:t>：</w:t>
      </w:r>
      <w:r>
        <w:rPr>
          <w:rFonts w:ascii="仿宋" w:eastAsia="仿宋" w:hAnsi="仿宋" w:cs="Times New Roman" w:hint="eastAsia"/>
          <w:color w:val="000000"/>
          <w:sz w:val="32"/>
          <w:szCs w:val="21"/>
          <w:lang w:val="zh-CN"/>
        </w:rPr>
        <w:t>总分100分</w:t>
      </w:r>
    </w:p>
    <w:p w14:paraId="53839374" w14:textId="77777777" w:rsidR="00BE036E" w:rsidRDefault="00000000" w:rsidP="00F73965">
      <w:pPr>
        <w:pStyle w:val="a6"/>
        <w:spacing w:before="0" w:beforeAutospacing="0" w:after="0" w:afterAutospacing="0"/>
        <w:ind w:firstLineChars="200" w:firstLine="640"/>
        <w:jc w:val="both"/>
        <w:rPr>
          <w:rFonts w:ascii="仿宋" w:eastAsia="仿宋" w:hAnsi="仿宋" w:cs="Times New Roman" w:hint="eastAsia"/>
          <w:color w:val="000000"/>
          <w:sz w:val="32"/>
          <w:szCs w:val="21"/>
          <w:lang w:val="zh-CN"/>
        </w:rPr>
      </w:pPr>
      <w:r>
        <w:rPr>
          <w:rFonts w:ascii="黑体" w:eastAsia="黑体" w:hAnsi="黑体" w:cs="Times New Roman" w:hint="eastAsia"/>
          <w:color w:val="000000"/>
          <w:kern w:val="2"/>
          <w:sz w:val="32"/>
          <w:szCs w:val="21"/>
        </w:rPr>
        <w:t>五、题型范围：</w:t>
      </w:r>
      <w:r>
        <w:rPr>
          <w:rFonts w:ascii="仿宋" w:eastAsia="仿宋" w:hAnsi="仿宋" w:cs="Times New Roman" w:hint="eastAsia"/>
          <w:color w:val="000000"/>
          <w:sz w:val="32"/>
          <w:szCs w:val="21"/>
        </w:rPr>
        <w:t>无选择题，无判断题，其他题型不限</w:t>
      </w:r>
      <w:r>
        <w:rPr>
          <w:rFonts w:ascii="仿宋" w:eastAsia="仿宋" w:hAnsi="仿宋" w:cs="Times New Roman" w:hint="eastAsia"/>
          <w:color w:val="000000"/>
          <w:sz w:val="32"/>
          <w:szCs w:val="21"/>
          <w:lang w:val="zh-CN"/>
        </w:rPr>
        <w:t>。</w:t>
      </w:r>
    </w:p>
    <w:p w14:paraId="79BCB5B5" w14:textId="77777777" w:rsidR="00BE036E" w:rsidRDefault="00000000" w:rsidP="00F73965">
      <w:pPr>
        <w:autoSpaceDE w:val="0"/>
        <w:autoSpaceDN w:val="0"/>
        <w:adjustRightInd w:val="0"/>
        <w:spacing w:after="0"/>
        <w:ind w:firstLineChars="200" w:firstLine="640"/>
        <w:rPr>
          <w:rFonts w:ascii="黑体" w:eastAsia="黑体" w:hAnsi="黑体" w:cs="Times New Roman" w:hint="eastAsia"/>
          <w:color w:val="000000"/>
          <w:sz w:val="32"/>
          <w:szCs w:val="21"/>
          <w:lang w:val="zh-CN"/>
        </w:rPr>
      </w:pPr>
      <w:r>
        <w:rPr>
          <w:rFonts w:ascii="黑体" w:eastAsia="黑体" w:hAnsi="黑体" w:cs="Times New Roman" w:hint="eastAsia"/>
          <w:color w:val="000000"/>
          <w:sz w:val="32"/>
          <w:szCs w:val="21"/>
        </w:rPr>
        <w:t>六</w:t>
      </w:r>
      <w:r>
        <w:rPr>
          <w:rFonts w:ascii="黑体" w:eastAsia="黑体" w:hAnsi="黑体" w:cs="Times New Roman" w:hint="eastAsia"/>
          <w:color w:val="000000"/>
          <w:sz w:val="32"/>
          <w:szCs w:val="21"/>
          <w:lang w:val="zh-CN"/>
        </w:rPr>
        <w:t>、考试的基本要求</w:t>
      </w:r>
    </w:p>
    <w:p w14:paraId="5793E886" w14:textId="77777777" w:rsidR="00BE036E" w:rsidRDefault="00000000" w:rsidP="00F73965">
      <w:pPr>
        <w:pStyle w:val="a6"/>
        <w:spacing w:before="0" w:beforeAutospacing="0" w:after="0" w:afterAutospacing="0"/>
        <w:ind w:firstLineChars="200" w:firstLine="640"/>
        <w:jc w:val="both"/>
        <w:rPr>
          <w:rFonts w:ascii="仿宋" w:eastAsia="仿宋" w:hAnsi="仿宋" w:cs="Times New Roman" w:hint="eastAsia"/>
          <w:color w:val="000000"/>
          <w:sz w:val="32"/>
          <w:szCs w:val="21"/>
          <w:lang w:val="zh-CN"/>
        </w:rPr>
      </w:pPr>
      <w:r>
        <w:rPr>
          <w:rFonts w:ascii="仿宋" w:eastAsia="仿宋" w:hAnsi="仿宋" w:cs="Times New Roman"/>
          <w:color w:val="000000"/>
          <w:sz w:val="32"/>
          <w:szCs w:val="21"/>
          <w:lang w:val="zh-CN"/>
        </w:rPr>
        <w:t>通过本课程的学习，使学生掌握电路的基本理论、分析计算电路的基本方法和进行实验的初步技能，并为后续课程准备必要的电路知识。</w:t>
      </w:r>
    </w:p>
    <w:p w14:paraId="604C3B9D" w14:textId="77777777" w:rsidR="00BE036E" w:rsidRDefault="00000000" w:rsidP="00F73965">
      <w:pPr>
        <w:autoSpaceDE w:val="0"/>
        <w:autoSpaceDN w:val="0"/>
        <w:adjustRightInd w:val="0"/>
        <w:spacing w:after="0"/>
        <w:ind w:firstLineChars="200" w:firstLine="640"/>
        <w:rPr>
          <w:rFonts w:ascii="黑体" w:eastAsia="黑体" w:hAnsi="黑体" w:cs="Times New Roman" w:hint="eastAsia"/>
          <w:color w:val="000000"/>
          <w:sz w:val="32"/>
          <w:szCs w:val="21"/>
          <w:lang w:val="zh-CN"/>
        </w:rPr>
      </w:pPr>
      <w:r>
        <w:rPr>
          <w:rFonts w:ascii="黑体" w:eastAsia="黑体" w:hAnsi="黑体" w:cs="Times New Roman" w:hint="eastAsia"/>
          <w:color w:val="000000"/>
          <w:sz w:val="32"/>
          <w:szCs w:val="21"/>
        </w:rPr>
        <w:t>七</w:t>
      </w:r>
      <w:r>
        <w:rPr>
          <w:rFonts w:ascii="黑体" w:eastAsia="黑体" w:hAnsi="黑体" w:cs="Times New Roman" w:hint="eastAsia"/>
          <w:color w:val="000000"/>
          <w:sz w:val="32"/>
          <w:szCs w:val="21"/>
          <w:lang w:val="zh-CN"/>
        </w:rPr>
        <w:t>、考试范围</w:t>
      </w:r>
    </w:p>
    <w:p w14:paraId="6797D531" w14:textId="77777777" w:rsidR="00BE036E" w:rsidRDefault="00000000" w:rsidP="00F73965">
      <w:pPr>
        <w:pStyle w:val="a6"/>
        <w:spacing w:before="0" w:beforeAutospacing="0" w:after="0" w:afterAutospacing="0"/>
        <w:ind w:firstLine="480"/>
        <w:jc w:val="both"/>
        <w:rPr>
          <w:rFonts w:ascii="仿宋" w:eastAsia="仿宋" w:hAnsi="仿宋" w:cs="Times New Roman" w:hint="eastAsia"/>
          <w:color w:val="000000"/>
          <w:sz w:val="32"/>
          <w:szCs w:val="21"/>
          <w:lang w:val="zh-CN"/>
        </w:rPr>
      </w:pPr>
      <w:r>
        <w:rPr>
          <w:rFonts w:ascii="仿宋" w:eastAsia="仿宋" w:hAnsi="仿宋" w:cs="Times New Roman" w:hint="eastAsia"/>
          <w:color w:val="000000"/>
          <w:sz w:val="32"/>
          <w:szCs w:val="21"/>
          <w:lang w:val="zh-CN"/>
        </w:rPr>
        <w:t>考核知识及要求：</w:t>
      </w:r>
    </w:p>
    <w:p w14:paraId="46DAACDD" w14:textId="062E424B" w:rsidR="00BE036E" w:rsidRDefault="00000000" w:rsidP="00F73965">
      <w:pPr>
        <w:pStyle w:val="HTML"/>
        <w:shd w:val="clear" w:color="auto" w:fill="FFFFFF"/>
        <w:spacing w:after="0"/>
        <w:ind w:firstLineChars="150" w:firstLine="482"/>
        <w:jc w:val="both"/>
        <w:rPr>
          <w:rFonts w:ascii="楷体_GB2312" w:eastAsia="楷体_GB2312" w:hAnsi="楷体_GB2312" w:cs="楷体_GB2312" w:hint="eastAsia"/>
          <w:b/>
          <w:bCs/>
          <w:color w:val="333333"/>
          <w:sz w:val="32"/>
          <w:szCs w:val="32"/>
        </w:rPr>
      </w:pPr>
      <w:r>
        <w:rPr>
          <w:rFonts w:ascii="楷体_GB2312" w:eastAsia="楷体_GB2312" w:hAnsi="楷体_GB2312" w:cs="楷体_GB2312" w:hint="eastAsia"/>
          <w:b/>
          <w:bCs/>
          <w:color w:val="333333"/>
          <w:sz w:val="32"/>
          <w:szCs w:val="32"/>
        </w:rPr>
        <w:t>第一章</w:t>
      </w:r>
      <w:r w:rsidR="00F73965">
        <w:rPr>
          <w:rFonts w:ascii="楷体_GB2312" w:eastAsia="楷体_GB2312" w:hAnsi="楷体_GB2312" w:cs="楷体_GB2312" w:hint="eastAsia"/>
          <w:b/>
          <w:bCs/>
          <w:color w:val="333333"/>
          <w:sz w:val="32"/>
          <w:szCs w:val="32"/>
        </w:rPr>
        <w:t xml:space="preserve">  </w:t>
      </w:r>
      <w:r>
        <w:rPr>
          <w:rFonts w:ascii="楷体_GB2312" w:eastAsia="楷体_GB2312" w:hAnsi="楷体_GB2312" w:cs="楷体_GB2312" w:hint="eastAsia"/>
          <w:b/>
          <w:bCs/>
          <w:color w:val="333333"/>
          <w:sz w:val="32"/>
          <w:szCs w:val="32"/>
        </w:rPr>
        <w:t>电路的基本概念与基本定律</w:t>
      </w:r>
    </w:p>
    <w:p w14:paraId="3655895F" w14:textId="58CCEE6B" w:rsidR="00BE036E" w:rsidRDefault="00000000" w:rsidP="00F73965">
      <w:pPr>
        <w:pStyle w:val="a6"/>
        <w:spacing w:before="0" w:beforeAutospacing="0" w:after="0" w:afterAutospacing="0"/>
        <w:ind w:firstLine="480"/>
        <w:jc w:val="both"/>
        <w:rPr>
          <w:rFonts w:ascii="仿宋" w:eastAsia="仿宋" w:hAnsi="仿宋" w:cs="Times New Roman" w:hint="eastAsia"/>
          <w:color w:val="000000"/>
          <w:sz w:val="32"/>
          <w:szCs w:val="21"/>
        </w:rPr>
      </w:pPr>
      <w:r>
        <w:rPr>
          <w:rFonts w:ascii="仿宋" w:eastAsia="仿宋" w:hAnsi="仿宋" w:cs="Times New Roman" w:hint="eastAsia"/>
          <w:color w:val="000000"/>
          <w:sz w:val="32"/>
          <w:szCs w:val="21"/>
        </w:rPr>
        <w:t>熟悉</w:t>
      </w:r>
      <w:r>
        <w:rPr>
          <w:rFonts w:ascii="仿宋" w:eastAsia="仿宋" w:hAnsi="仿宋" w:cs="Times New Roman" w:hint="eastAsia"/>
          <w:color w:val="000000"/>
          <w:sz w:val="32"/>
          <w:szCs w:val="21"/>
          <w:lang w:val="zh-CN"/>
        </w:rPr>
        <w:t>电路的组成与电路模型、电路的组成及其作用；</w:t>
      </w:r>
      <w:r>
        <w:rPr>
          <w:rFonts w:ascii="仿宋" w:eastAsia="仿宋" w:hAnsi="仿宋" w:cs="Times New Roman" w:hint="eastAsia"/>
          <w:color w:val="000000"/>
          <w:sz w:val="32"/>
          <w:szCs w:val="21"/>
        </w:rPr>
        <w:t>掌握电路的基本物理量：电流、电压、电位、电功率的定义及计算方法。熟练掌握基尔霍夫定律（KCL、KVL）的概念及其在具体电路中的应用。熟练掌握三种基本线性无源元件：电阻、电容、线性电感的特性及其伏安特性。熟悉</w:t>
      </w:r>
      <w:proofErr w:type="gramStart"/>
      <w:r>
        <w:rPr>
          <w:rFonts w:ascii="仿宋" w:eastAsia="仿宋" w:hAnsi="仿宋" w:cs="Times New Roman" w:hint="eastAsia"/>
          <w:color w:val="000000"/>
          <w:sz w:val="32"/>
          <w:szCs w:val="21"/>
        </w:rPr>
        <w:t>独立源</w:t>
      </w:r>
      <w:proofErr w:type="gramEnd"/>
      <w:r>
        <w:rPr>
          <w:rFonts w:ascii="仿宋" w:eastAsia="仿宋" w:hAnsi="仿宋" w:cs="Times New Roman" w:hint="eastAsia"/>
          <w:color w:val="000000"/>
          <w:sz w:val="32"/>
          <w:szCs w:val="21"/>
        </w:rPr>
        <w:t>和受控源的特点及其在电路中的分析方法。</w:t>
      </w:r>
    </w:p>
    <w:p w14:paraId="0A83DFC6" w14:textId="56A46336" w:rsidR="00BE036E" w:rsidRDefault="00000000" w:rsidP="00F73965">
      <w:pPr>
        <w:pStyle w:val="HTML"/>
        <w:shd w:val="clear" w:color="auto" w:fill="FFFFFF"/>
        <w:spacing w:after="0"/>
        <w:ind w:firstLineChars="150" w:firstLine="482"/>
        <w:jc w:val="both"/>
        <w:rPr>
          <w:rFonts w:ascii="楷体_GB2312" w:eastAsia="楷体_GB2312" w:hAnsi="楷体_GB2312" w:cs="楷体_GB2312" w:hint="eastAsia"/>
          <w:b/>
          <w:bCs/>
          <w:color w:val="333333"/>
          <w:sz w:val="32"/>
          <w:szCs w:val="32"/>
        </w:rPr>
      </w:pPr>
      <w:r>
        <w:rPr>
          <w:rFonts w:ascii="楷体_GB2312" w:eastAsia="楷体_GB2312" w:hAnsi="楷体_GB2312" w:cs="楷体_GB2312" w:hint="eastAsia"/>
          <w:b/>
          <w:bCs/>
          <w:color w:val="333333"/>
          <w:sz w:val="32"/>
          <w:szCs w:val="32"/>
        </w:rPr>
        <w:t>第二章</w:t>
      </w:r>
      <w:r w:rsidR="00F73965">
        <w:rPr>
          <w:rFonts w:ascii="楷体_GB2312" w:eastAsia="楷体_GB2312" w:hAnsi="楷体_GB2312" w:cs="楷体_GB2312" w:hint="eastAsia"/>
          <w:b/>
          <w:bCs/>
          <w:color w:val="333333"/>
          <w:sz w:val="32"/>
          <w:szCs w:val="32"/>
        </w:rPr>
        <w:t xml:space="preserve">  </w:t>
      </w:r>
      <w:r>
        <w:rPr>
          <w:rFonts w:ascii="楷体_GB2312" w:eastAsia="楷体_GB2312" w:hAnsi="楷体_GB2312" w:cs="楷体_GB2312" w:hint="eastAsia"/>
          <w:b/>
          <w:bCs/>
          <w:color w:val="333333"/>
          <w:sz w:val="32"/>
          <w:szCs w:val="32"/>
        </w:rPr>
        <w:t>电路的等效变换</w:t>
      </w:r>
    </w:p>
    <w:p w14:paraId="002C75BE" w14:textId="77777777" w:rsidR="00BE036E" w:rsidRDefault="00000000" w:rsidP="00F73965">
      <w:pPr>
        <w:pStyle w:val="HTML"/>
        <w:shd w:val="clear" w:color="auto" w:fill="FFFFFF"/>
        <w:spacing w:after="0"/>
        <w:ind w:firstLineChars="150" w:firstLine="480"/>
        <w:jc w:val="both"/>
        <w:rPr>
          <w:rFonts w:ascii="仿宋" w:eastAsia="仿宋" w:hAnsi="仿宋" w:cs="Times New Roman" w:hint="eastAsia"/>
          <w:color w:val="000000"/>
          <w:sz w:val="30"/>
          <w:szCs w:val="30"/>
        </w:rPr>
      </w:pPr>
      <w:r>
        <w:rPr>
          <w:rFonts w:ascii="仿宋" w:eastAsia="仿宋" w:hAnsi="仿宋" w:cs="Times New Roman" w:hint="eastAsia"/>
          <w:color w:val="000000"/>
          <w:sz w:val="32"/>
          <w:szCs w:val="21"/>
        </w:rPr>
        <w:lastRenderedPageBreak/>
        <w:t>熟悉二端网络等效的概念。熟练掌握电阻的等效变换：电阻的串、并联；电阻的Y- △等效变换。熟练掌握电源的等效变换：实际电源的两种模型及其等效变换和理想电源的串并联等效。熟练掌握电路的等效分析方法及无源二端网络的等效电阻。了解直流电表的设计和惠斯通电桥电路原理。</w:t>
      </w:r>
    </w:p>
    <w:p w14:paraId="44ADA016" w14:textId="104DB2F7" w:rsidR="00BE036E" w:rsidRDefault="00000000" w:rsidP="00F73965">
      <w:pPr>
        <w:pStyle w:val="HTML"/>
        <w:shd w:val="clear" w:color="auto" w:fill="FFFFFF"/>
        <w:spacing w:after="0"/>
        <w:ind w:firstLineChars="150" w:firstLine="482"/>
        <w:jc w:val="both"/>
        <w:rPr>
          <w:rFonts w:ascii="楷体_GB2312" w:eastAsia="楷体_GB2312" w:hAnsi="楷体_GB2312" w:cs="楷体_GB2312" w:hint="eastAsia"/>
          <w:b/>
          <w:bCs/>
          <w:color w:val="333333"/>
          <w:sz w:val="32"/>
          <w:szCs w:val="32"/>
        </w:rPr>
      </w:pPr>
      <w:r>
        <w:rPr>
          <w:rFonts w:ascii="楷体_GB2312" w:eastAsia="楷体_GB2312" w:hAnsi="楷体_GB2312" w:cs="楷体_GB2312" w:hint="eastAsia"/>
          <w:b/>
          <w:bCs/>
          <w:color w:val="333333"/>
          <w:sz w:val="32"/>
          <w:szCs w:val="32"/>
        </w:rPr>
        <w:t>第三章</w:t>
      </w:r>
      <w:r w:rsidR="00F73965">
        <w:rPr>
          <w:rFonts w:ascii="楷体_GB2312" w:eastAsia="楷体_GB2312" w:hAnsi="楷体_GB2312" w:cs="楷体_GB2312" w:hint="eastAsia"/>
          <w:b/>
          <w:bCs/>
          <w:color w:val="333333"/>
          <w:sz w:val="32"/>
          <w:szCs w:val="32"/>
        </w:rPr>
        <w:t xml:space="preserve">  </w:t>
      </w:r>
      <w:r>
        <w:rPr>
          <w:rFonts w:ascii="楷体_GB2312" w:eastAsia="楷体_GB2312" w:hAnsi="楷体_GB2312" w:cs="楷体_GB2312" w:hint="eastAsia"/>
          <w:b/>
          <w:bCs/>
          <w:color w:val="333333"/>
          <w:sz w:val="32"/>
          <w:szCs w:val="32"/>
        </w:rPr>
        <w:t>电路的系统分析方法</w:t>
      </w:r>
    </w:p>
    <w:p w14:paraId="53E35052" w14:textId="77777777" w:rsidR="00BE036E" w:rsidRDefault="00000000" w:rsidP="00F73965">
      <w:pPr>
        <w:pStyle w:val="a6"/>
        <w:spacing w:before="0" w:beforeAutospacing="0" w:after="0" w:afterAutospacing="0"/>
        <w:ind w:firstLine="480"/>
        <w:jc w:val="both"/>
        <w:rPr>
          <w:rFonts w:ascii="仿宋" w:eastAsia="仿宋" w:hAnsi="仿宋" w:cs="Times New Roman" w:hint="eastAsia"/>
          <w:color w:val="000000"/>
          <w:sz w:val="30"/>
          <w:szCs w:val="30"/>
        </w:rPr>
      </w:pPr>
      <w:r>
        <w:rPr>
          <w:rFonts w:ascii="仿宋" w:eastAsia="仿宋" w:hAnsi="仿宋" w:cs="Times New Roman" w:hint="eastAsia"/>
          <w:color w:val="000000"/>
          <w:sz w:val="32"/>
          <w:szCs w:val="21"/>
        </w:rPr>
        <w:t>熟练掌握电路的基本分析方法：支路电流法、网孔电流法与回路电流法、节点电压法。特别注意当电路中出现受控源时的处理方法以及每种分析方法的适用条件及注意事项。</w:t>
      </w:r>
    </w:p>
    <w:p w14:paraId="528D4A55" w14:textId="4DE2C06B" w:rsidR="00BE036E" w:rsidRDefault="00000000" w:rsidP="00F73965">
      <w:pPr>
        <w:pStyle w:val="HTML"/>
        <w:shd w:val="clear" w:color="auto" w:fill="FFFFFF"/>
        <w:spacing w:after="0"/>
        <w:ind w:firstLineChars="150" w:firstLine="482"/>
        <w:jc w:val="both"/>
        <w:rPr>
          <w:rFonts w:ascii="楷体_GB2312" w:eastAsia="楷体_GB2312" w:hAnsi="楷体_GB2312" w:cs="楷体_GB2312" w:hint="eastAsia"/>
          <w:b/>
          <w:bCs/>
          <w:color w:val="333333"/>
          <w:sz w:val="32"/>
          <w:szCs w:val="32"/>
        </w:rPr>
      </w:pPr>
      <w:r>
        <w:rPr>
          <w:rFonts w:ascii="楷体_GB2312" w:eastAsia="楷体_GB2312" w:hAnsi="楷体_GB2312" w:cs="楷体_GB2312" w:hint="eastAsia"/>
          <w:b/>
          <w:bCs/>
          <w:color w:val="333333"/>
          <w:sz w:val="32"/>
          <w:szCs w:val="32"/>
        </w:rPr>
        <w:t>第四章</w:t>
      </w:r>
      <w:r w:rsidR="00F73965">
        <w:rPr>
          <w:rFonts w:ascii="楷体_GB2312" w:eastAsia="楷体_GB2312" w:hAnsi="楷体_GB2312" w:cs="楷体_GB2312" w:hint="eastAsia"/>
          <w:b/>
          <w:bCs/>
          <w:color w:val="333333"/>
          <w:sz w:val="32"/>
          <w:szCs w:val="32"/>
        </w:rPr>
        <w:t xml:space="preserve">  </w:t>
      </w:r>
      <w:r>
        <w:rPr>
          <w:rFonts w:ascii="楷体_GB2312" w:eastAsia="楷体_GB2312" w:hAnsi="楷体_GB2312" w:cs="楷体_GB2312" w:hint="eastAsia"/>
          <w:b/>
          <w:bCs/>
          <w:color w:val="333333"/>
          <w:sz w:val="32"/>
          <w:szCs w:val="32"/>
        </w:rPr>
        <w:t>电路定理</w:t>
      </w:r>
    </w:p>
    <w:p w14:paraId="116971FA" w14:textId="48E357F6" w:rsidR="00BE036E" w:rsidRDefault="00000000" w:rsidP="00F73965">
      <w:pPr>
        <w:pStyle w:val="a6"/>
        <w:spacing w:before="0" w:beforeAutospacing="0" w:after="0" w:afterAutospacing="0"/>
        <w:ind w:firstLine="480"/>
        <w:jc w:val="both"/>
        <w:rPr>
          <w:rFonts w:ascii="仿宋" w:eastAsia="仿宋" w:hAnsi="仿宋" w:cs="Times New Roman" w:hint="eastAsia"/>
          <w:color w:val="000000"/>
          <w:sz w:val="32"/>
          <w:szCs w:val="21"/>
        </w:rPr>
      </w:pPr>
      <w:r>
        <w:rPr>
          <w:rFonts w:ascii="仿宋" w:eastAsia="仿宋" w:hAnsi="仿宋" w:cs="Times New Roman" w:hint="eastAsia"/>
          <w:color w:val="000000"/>
          <w:sz w:val="32"/>
          <w:szCs w:val="21"/>
        </w:rPr>
        <w:t>熟练掌握电路的叠加定理、替代定理、戴维南定理以及诺顿定理。熟练掌握实际电源间的相互转换。熟练掌握最大功率定理，并应用该定理解决实际问题。了解特勒根定理和互易定理。</w:t>
      </w:r>
    </w:p>
    <w:p w14:paraId="15464828" w14:textId="0003BE59" w:rsidR="00BE036E" w:rsidRDefault="00000000" w:rsidP="00F73965">
      <w:pPr>
        <w:pStyle w:val="HTML"/>
        <w:shd w:val="clear" w:color="auto" w:fill="FFFFFF"/>
        <w:spacing w:after="0"/>
        <w:ind w:firstLineChars="150" w:firstLine="482"/>
        <w:jc w:val="both"/>
        <w:rPr>
          <w:rFonts w:ascii="楷体_GB2312" w:eastAsia="楷体_GB2312" w:hAnsi="楷体_GB2312" w:cs="楷体_GB2312" w:hint="eastAsia"/>
          <w:b/>
          <w:bCs/>
          <w:color w:val="333333"/>
          <w:sz w:val="32"/>
          <w:szCs w:val="32"/>
        </w:rPr>
      </w:pPr>
      <w:r>
        <w:rPr>
          <w:rFonts w:ascii="楷体_GB2312" w:eastAsia="楷体_GB2312" w:hAnsi="楷体_GB2312" w:cs="楷体_GB2312" w:hint="eastAsia"/>
          <w:b/>
          <w:bCs/>
          <w:color w:val="333333"/>
          <w:sz w:val="32"/>
          <w:szCs w:val="32"/>
        </w:rPr>
        <w:t>第五章</w:t>
      </w:r>
      <w:r w:rsidR="00F73965">
        <w:rPr>
          <w:rFonts w:ascii="楷体_GB2312" w:eastAsia="楷体_GB2312" w:hAnsi="楷体_GB2312" w:cs="楷体_GB2312" w:hint="eastAsia"/>
          <w:b/>
          <w:bCs/>
          <w:color w:val="333333"/>
          <w:sz w:val="32"/>
          <w:szCs w:val="32"/>
        </w:rPr>
        <w:t xml:space="preserve">  </w:t>
      </w:r>
      <w:r>
        <w:rPr>
          <w:rFonts w:ascii="楷体_GB2312" w:eastAsia="楷体_GB2312" w:hAnsi="楷体_GB2312" w:cs="楷体_GB2312" w:hint="eastAsia"/>
          <w:b/>
          <w:bCs/>
          <w:color w:val="333333"/>
          <w:sz w:val="32"/>
          <w:szCs w:val="32"/>
        </w:rPr>
        <w:t>正弦稳态电路的分析</w:t>
      </w:r>
    </w:p>
    <w:p w14:paraId="444AF32F" w14:textId="27CF22AE" w:rsidR="00BE036E" w:rsidRDefault="00000000" w:rsidP="00F73965">
      <w:pPr>
        <w:pStyle w:val="HTML"/>
        <w:shd w:val="clear" w:color="auto" w:fill="FFFFFF"/>
        <w:spacing w:after="0"/>
        <w:ind w:firstLineChars="150" w:firstLine="480"/>
        <w:jc w:val="both"/>
        <w:rPr>
          <w:rFonts w:ascii="仿宋" w:eastAsia="仿宋" w:hAnsi="仿宋" w:cs="Times New Roman" w:hint="eastAsia"/>
          <w:color w:val="000000"/>
          <w:sz w:val="32"/>
          <w:szCs w:val="21"/>
        </w:rPr>
      </w:pPr>
      <w:r>
        <w:rPr>
          <w:rFonts w:ascii="仿宋" w:eastAsia="仿宋" w:hAnsi="仿宋" w:cs="Times New Roman" w:hint="eastAsia"/>
          <w:color w:val="000000"/>
          <w:sz w:val="32"/>
          <w:szCs w:val="21"/>
          <w:lang w:val="zh-CN"/>
        </w:rPr>
        <w:t>理解正弦</w:t>
      </w:r>
      <w:r>
        <w:rPr>
          <w:rFonts w:ascii="仿宋" w:eastAsia="仿宋" w:hAnsi="仿宋" w:cs="Times New Roman" w:hint="eastAsia"/>
          <w:color w:val="000000"/>
          <w:sz w:val="32"/>
          <w:szCs w:val="21"/>
        </w:rPr>
        <w:t>量的基本概念，熟练掌握正弦量的相量表示法，熟练掌握基尔霍夫定律的相量形式以及三种线性元件伏安关系的相量形式。掌握正弦交流电路中阻抗和导纳的定义及计算。熟练掌握简单、复杂正弦交流电路的分析方法。掌握正弦交流电路中功率的计算、功率因数的提高以及正弦交流电路中的最大功率传输定理。了解正弦交流电路频率响应特性。</w:t>
      </w:r>
    </w:p>
    <w:p w14:paraId="0A6024F3" w14:textId="00BB86FD" w:rsidR="00BE036E" w:rsidRDefault="00000000" w:rsidP="00F73965">
      <w:pPr>
        <w:pStyle w:val="HTML"/>
        <w:shd w:val="clear" w:color="auto" w:fill="FFFFFF"/>
        <w:spacing w:after="0"/>
        <w:ind w:firstLineChars="150" w:firstLine="482"/>
        <w:jc w:val="both"/>
        <w:rPr>
          <w:rFonts w:ascii="楷体_GB2312" w:eastAsia="楷体_GB2312" w:hAnsi="楷体_GB2312" w:cs="楷体_GB2312" w:hint="eastAsia"/>
          <w:b/>
          <w:bCs/>
          <w:color w:val="333333"/>
          <w:sz w:val="32"/>
          <w:szCs w:val="32"/>
        </w:rPr>
      </w:pPr>
      <w:r>
        <w:rPr>
          <w:rFonts w:ascii="楷体_GB2312" w:eastAsia="楷体_GB2312" w:hAnsi="楷体_GB2312" w:cs="楷体_GB2312" w:hint="eastAsia"/>
          <w:b/>
          <w:bCs/>
          <w:color w:val="333333"/>
          <w:sz w:val="32"/>
          <w:szCs w:val="32"/>
        </w:rPr>
        <w:lastRenderedPageBreak/>
        <w:t>第六章</w:t>
      </w:r>
      <w:r w:rsidR="00F73965">
        <w:rPr>
          <w:rFonts w:ascii="楷体_GB2312" w:eastAsia="楷体_GB2312" w:hAnsi="楷体_GB2312" w:cs="楷体_GB2312" w:hint="eastAsia"/>
          <w:b/>
          <w:bCs/>
          <w:color w:val="333333"/>
          <w:sz w:val="32"/>
          <w:szCs w:val="32"/>
        </w:rPr>
        <w:t xml:space="preserve">  </w:t>
      </w:r>
      <w:r w:rsidRPr="00017A73">
        <w:rPr>
          <w:rFonts w:ascii="楷体_GB2312" w:eastAsia="楷体_GB2312" w:hAnsi="楷体_GB2312" w:cs="楷体_GB2312" w:hint="eastAsia"/>
          <w:b/>
          <w:bCs/>
          <w:color w:val="333333"/>
          <w:sz w:val="32"/>
          <w:szCs w:val="32"/>
        </w:rPr>
        <w:t>耦合电感和理想变压器</w:t>
      </w:r>
    </w:p>
    <w:p w14:paraId="25762DB5" w14:textId="77777777" w:rsidR="00BE036E" w:rsidRDefault="00000000" w:rsidP="00F73965">
      <w:pPr>
        <w:pStyle w:val="HTML"/>
        <w:shd w:val="clear" w:color="auto" w:fill="FFFFFF"/>
        <w:spacing w:after="0"/>
        <w:ind w:firstLineChars="150" w:firstLine="480"/>
        <w:jc w:val="both"/>
        <w:rPr>
          <w:rFonts w:ascii="仿宋" w:eastAsia="仿宋" w:hAnsi="仿宋" w:cs="Times New Roman" w:hint="eastAsia"/>
          <w:color w:val="000000"/>
          <w:sz w:val="32"/>
          <w:szCs w:val="21"/>
        </w:rPr>
      </w:pPr>
      <w:r>
        <w:rPr>
          <w:rFonts w:ascii="仿宋" w:eastAsia="仿宋" w:hAnsi="仿宋" w:cs="Times New Roman" w:hint="eastAsia"/>
          <w:color w:val="000000"/>
          <w:sz w:val="32"/>
          <w:szCs w:val="21"/>
        </w:rPr>
        <w:t>熟悉耦合电感，能对含耦合电感的正弦稳态电路进行分析；掌握空心变压器和理想变压器的原理及特点，能对含有理想变压器电流进行分析和计算。熟悉理想变压器在日常生活中的作用。</w:t>
      </w:r>
    </w:p>
    <w:p w14:paraId="1E3FA71F" w14:textId="038F6A3F" w:rsidR="00F73965" w:rsidRDefault="00000000" w:rsidP="00F73965">
      <w:pPr>
        <w:pStyle w:val="HTML"/>
        <w:shd w:val="clear" w:color="auto" w:fill="FFFFFF"/>
        <w:spacing w:after="0"/>
        <w:ind w:firstLineChars="150" w:firstLine="482"/>
        <w:jc w:val="both"/>
        <w:rPr>
          <w:rFonts w:ascii="楷体_GB2312" w:eastAsia="楷体_GB2312" w:hAnsi="楷体_GB2312" w:cs="楷体_GB2312"/>
          <w:b/>
          <w:bCs/>
          <w:color w:val="333333"/>
          <w:sz w:val="32"/>
          <w:szCs w:val="32"/>
        </w:rPr>
      </w:pPr>
      <w:r>
        <w:rPr>
          <w:rFonts w:ascii="楷体_GB2312" w:eastAsia="楷体_GB2312" w:hAnsi="楷体_GB2312" w:cs="楷体_GB2312" w:hint="eastAsia"/>
          <w:b/>
          <w:bCs/>
          <w:color w:val="333333"/>
          <w:sz w:val="32"/>
          <w:szCs w:val="32"/>
        </w:rPr>
        <w:t>第七章</w:t>
      </w:r>
      <w:r w:rsidR="00AC058D">
        <w:rPr>
          <w:rFonts w:ascii="楷体_GB2312" w:eastAsia="楷体_GB2312" w:hAnsi="楷体_GB2312" w:cs="楷体_GB2312" w:hint="eastAsia"/>
          <w:b/>
          <w:bCs/>
          <w:color w:val="333333"/>
          <w:sz w:val="32"/>
          <w:szCs w:val="32"/>
        </w:rPr>
        <w:t xml:space="preserve">  </w:t>
      </w:r>
      <w:r>
        <w:rPr>
          <w:rFonts w:ascii="楷体_GB2312" w:eastAsia="楷体_GB2312" w:hAnsi="楷体_GB2312" w:cs="楷体_GB2312" w:hint="eastAsia"/>
          <w:b/>
          <w:bCs/>
          <w:color w:val="333333"/>
          <w:sz w:val="32"/>
          <w:szCs w:val="32"/>
        </w:rPr>
        <w:t>三相电路</w:t>
      </w:r>
    </w:p>
    <w:p w14:paraId="2381C451" w14:textId="7DA0D606" w:rsidR="00BE036E" w:rsidRPr="00F73965" w:rsidRDefault="00000000" w:rsidP="00F73965">
      <w:pPr>
        <w:pStyle w:val="HTML"/>
        <w:shd w:val="clear" w:color="auto" w:fill="FFFFFF"/>
        <w:spacing w:after="0"/>
        <w:ind w:firstLineChars="150" w:firstLine="480"/>
        <w:jc w:val="both"/>
        <w:rPr>
          <w:rFonts w:ascii="楷体_GB2312" w:eastAsia="楷体_GB2312" w:hAnsi="楷体_GB2312" w:cs="楷体_GB2312" w:hint="eastAsia"/>
          <w:b/>
          <w:bCs/>
          <w:color w:val="333333"/>
          <w:sz w:val="32"/>
          <w:szCs w:val="32"/>
        </w:rPr>
      </w:pPr>
      <w:r>
        <w:rPr>
          <w:rFonts w:ascii="仿宋" w:eastAsia="仿宋" w:hAnsi="仿宋" w:cs="Times New Roman" w:hint="eastAsia"/>
          <w:color w:val="000000"/>
          <w:sz w:val="32"/>
          <w:szCs w:val="21"/>
          <w:lang w:val="zh-CN"/>
        </w:rPr>
        <w:t>掌握三相电源的概念、</w:t>
      </w:r>
      <w:r>
        <w:rPr>
          <w:rFonts w:ascii="仿宋" w:eastAsia="仿宋" w:hAnsi="仿宋" w:cs="Times New Roman" w:hint="eastAsia"/>
          <w:color w:val="000000"/>
          <w:sz w:val="32"/>
          <w:szCs w:val="21"/>
        </w:rPr>
        <w:t>对称三相电路和不对称三相电率的分析方法。了解电源和负载的Y形联结和△形联结特点。熟悉三相功率的计算和测量方法。</w:t>
      </w:r>
    </w:p>
    <w:p w14:paraId="59F826EB" w14:textId="7F76FEC4" w:rsidR="00F73965" w:rsidRDefault="00000000" w:rsidP="00F73965">
      <w:pPr>
        <w:pStyle w:val="HTML"/>
        <w:shd w:val="clear" w:color="auto" w:fill="FFFFFF"/>
        <w:spacing w:after="0"/>
        <w:ind w:firstLineChars="150" w:firstLine="482"/>
        <w:jc w:val="both"/>
        <w:rPr>
          <w:rFonts w:ascii="楷体_GB2312" w:eastAsia="楷体_GB2312" w:hAnsi="楷体_GB2312" w:cs="楷体_GB2312"/>
          <w:b/>
          <w:bCs/>
          <w:color w:val="333333"/>
          <w:sz w:val="32"/>
          <w:szCs w:val="32"/>
        </w:rPr>
      </w:pPr>
      <w:r>
        <w:rPr>
          <w:rFonts w:ascii="楷体_GB2312" w:eastAsia="楷体_GB2312" w:hAnsi="楷体_GB2312" w:cs="楷体_GB2312" w:hint="eastAsia"/>
          <w:b/>
          <w:bCs/>
          <w:color w:val="333333"/>
          <w:sz w:val="32"/>
          <w:szCs w:val="32"/>
        </w:rPr>
        <w:t>第八章</w:t>
      </w:r>
      <w:r w:rsidR="00AC058D">
        <w:rPr>
          <w:rFonts w:ascii="楷体_GB2312" w:eastAsia="楷体_GB2312" w:hAnsi="楷体_GB2312" w:cs="楷体_GB2312" w:hint="eastAsia"/>
          <w:b/>
          <w:bCs/>
          <w:color w:val="333333"/>
          <w:sz w:val="32"/>
          <w:szCs w:val="32"/>
        </w:rPr>
        <w:t xml:space="preserve">  </w:t>
      </w:r>
      <w:r>
        <w:rPr>
          <w:rFonts w:ascii="楷体_GB2312" w:eastAsia="楷体_GB2312" w:hAnsi="楷体_GB2312" w:cs="楷体_GB2312" w:hint="eastAsia"/>
          <w:b/>
          <w:bCs/>
          <w:color w:val="333333"/>
          <w:sz w:val="32"/>
          <w:szCs w:val="32"/>
        </w:rPr>
        <w:t>非正弦周期电流电路</w:t>
      </w:r>
    </w:p>
    <w:p w14:paraId="0E8A2658" w14:textId="6BCE073A" w:rsidR="00BE036E" w:rsidRPr="00F73965" w:rsidRDefault="00000000" w:rsidP="00F73965">
      <w:pPr>
        <w:pStyle w:val="HTML"/>
        <w:shd w:val="clear" w:color="auto" w:fill="FFFFFF"/>
        <w:spacing w:after="0"/>
        <w:ind w:firstLineChars="150" w:firstLine="480"/>
        <w:jc w:val="both"/>
        <w:rPr>
          <w:rFonts w:ascii="楷体_GB2312" w:eastAsia="楷体_GB2312" w:hAnsi="楷体_GB2312" w:cs="楷体_GB2312" w:hint="eastAsia"/>
          <w:b/>
          <w:bCs/>
          <w:color w:val="333333"/>
          <w:sz w:val="32"/>
          <w:szCs w:val="32"/>
        </w:rPr>
      </w:pPr>
      <w:proofErr w:type="gramStart"/>
      <w:r>
        <w:rPr>
          <w:rFonts w:ascii="仿宋" w:eastAsia="仿宋" w:hAnsi="仿宋" w:cs="Times New Roman" w:hint="eastAsia"/>
          <w:color w:val="000000"/>
          <w:sz w:val="32"/>
          <w:szCs w:val="21"/>
        </w:rPr>
        <w:t>了</w:t>
      </w:r>
      <w:r>
        <w:rPr>
          <w:rFonts w:ascii="仿宋" w:eastAsia="仿宋" w:hAnsi="仿宋" w:cs="Times New Roman" w:hint="eastAsia"/>
          <w:color w:val="000000"/>
          <w:kern w:val="2"/>
          <w:sz w:val="32"/>
          <w:szCs w:val="21"/>
        </w:rPr>
        <w:t>解非</w:t>
      </w:r>
      <w:proofErr w:type="gramEnd"/>
      <w:r>
        <w:rPr>
          <w:rFonts w:ascii="仿宋" w:eastAsia="仿宋" w:hAnsi="仿宋" w:cs="Times New Roman" w:hint="eastAsia"/>
          <w:color w:val="000000"/>
          <w:kern w:val="2"/>
          <w:sz w:val="32"/>
          <w:szCs w:val="21"/>
        </w:rPr>
        <w:t>正弦周期信号及其傅里叶级数展开；掌握非正弦周期信号的有效值和平均功率；</w:t>
      </w:r>
      <w:proofErr w:type="gramStart"/>
      <w:r>
        <w:rPr>
          <w:rFonts w:ascii="仿宋" w:eastAsia="仿宋" w:hAnsi="仿宋" w:cs="Times New Roman" w:hint="eastAsia"/>
          <w:color w:val="000000"/>
          <w:kern w:val="2"/>
          <w:sz w:val="32"/>
          <w:szCs w:val="21"/>
        </w:rPr>
        <w:t>了解非</w:t>
      </w:r>
      <w:proofErr w:type="gramEnd"/>
      <w:r>
        <w:rPr>
          <w:rFonts w:ascii="仿宋" w:eastAsia="仿宋" w:hAnsi="仿宋" w:cs="Times New Roman" w:hint="eastAsia"/>
          <w:color w:val="000000"/>
          <w:kern w:val="2"/>
          <w:sz w:val="32"/>
          <w:szCs w:val="21"/>
        </w:rPr>
        <w:t>正弦周期电流电路的分析方法。</w:t>
      </w:r>
    </w:p>
    <w:p w14:paraId="491A64E0" w14:textId="77777777" w:rsidR="00F73965" w:rsidRDefault="00000000" w:rsidP="00F73965">
      <w:pPr>
        <w:pStyle w:val="HTML"/>
        <w:shd w:val="clear" w:color="auto" w:fill="FFFFFF"/>
        <w:spacing w:after="0"/>
        <w:ind w:firstLineChars="150" w:firstLine="482"/>
        <w:jc w:val="both"/>
        <w:rPr>
          <w:rFonts w:ascii="楷体_GB2312" w:eastAsia="楷体_GB2312" w:hAnsi="楷体_GB2312" w:cs="楷体_GB2312"/>
          <w:b/>
          <w:bCs/>
          <w:color w:val="333333"/>
          <w:sz w:val="32"/>
          <w:szCs w:val="32"/>
        </w:rPr>
      </w:pPr>
      <w:r>
        <w:rPr>
          <w:rFonts w:ascii="楷体_GB2312" w:eastAsia="楷体_GB2312" w:hAnsi="楷体_GB2312" w:cs="楷体_GB2312" w:hint="eastAsia"/>
          <w:b/>
          <w:bCs/>
          <w:color w:val="333333"/>
          <w:sz w:val="32"/>
          <w:szCs w:val="32"/>
        </w:rPr>
        <w:t>第九章</w:t>
      </w:r>
      <w:r w:rsidR="00F73965">
        <w:rPr>
          <w:rFonts w:ascii="楷体_GB2312" w:eastAsia="楷体_GB2312" w:hAnsi="楷体_GB2312" w:cs="楷体_GB2312" w:hint="eastAsia"/>
          <w:b/>
          <w:bCs/>
          <w:color w:val="333333"/>
          <w:sz w:val="32"/>
          <w:szCs w:val="32"/>
        </w:rPr>
        <w:t xml:space="preserve">  </w:t>
      </w:r>
      <w:r>
        <w:rPr>
          <w:rFonts w:ascii="楷体_GB2312" w:eastAsia="楷体_GB2312" w:hAnsi="楷体_GB2312" w:cs="楷体_GB2312" w:hint="eastAsia"/>
          <w:b/>
          <w:bCs/>
          <w:color w:val="333333"/>
          <w:sz w:val="32"/>
          <w:szCs w:val="32"/>
        </w:rPr>
        <w:t>动态电路的时域分析</w:t>
      </w:r>
    </w:p>
    <w:p w14:paraId="5A2E5764" w14:textId="256C5C37" w:rsidR="00BE036E" w:rsidRPr="00F73965" w:rsidRDefault="00000000" w:rsidP="00F73965">
      <w:pPr>
        <w:pStyle w:val="HTML"/>
        <w:shd w:val="clear" w:color="auto" w:fill="FFFFFF"/>
        <w:spacing w:after="0"/>
        <w:ind w:firstLineChars="150" w:firstLine="480"/>
        <w:jc w:val="both"/>
        <w:rPr>
          <w:rFonts w:ascii="仿宋" w:eastAsia="仿宋" w:hAnsi="仿宋" w:cs="Times New Roman" w:hint="eastAsia"/>
          <w:color w:val="000000"/>
          <w:sz w:val="32"/>
          <w:szCs w:val="21"/>
          <w:lang w:val="zh-CN"/>
        </w:rPr>
      </w:pPr>
      <w:r>
        <w:rPr>
          <w:rFonts w:ascii="仿宋" w:eastAsia="仿宋" w:hAnsi="仿宋" w:cs="Times New Roman" w:hint="eastAsia"/>
          <w:color w:val="000000"/>
          <w:kern w:val="2"/>
          <w:sz w:val="32"/>
          <w:szCs w:val="21"/>
        </w:rPr>
        <w:t>熟练掌握动态电路的暂态过程及换路定则、一阶电路的零输入响应和一阶电路的零状态响应。熟练掌握一阶电路的三要素法。对二节及二阶以上动态电路有一个基本了解。</w:t>
      </w:r>
    </w:p>
    <w:p w14:paraId="4A50267F" w14:textId="67691BD7" w:rsidR="00F73965" w:rsidRDefault="00000000" w:rsidP="00F73965">
      <w:pPr>
        <w:pStyle w:val="HTML"/>
        <w:shd w:val="clear" w:color="auto" w:fill="FFFFFF"/>
        <w:spacing w:after="0"/>
        <w:ind w:firstLineChars="150" w:firstLine="482"/>
        <w:jc w:val="both"/>
        <w:rPr>
          <w:rFonts w:ascii="楷体_GB2312" w:eastAsia="楷体_GB2312" w:hAnsi="楷体_GB2312" w:cs="楷体_GB2312"/>
          <w:b/>
          <w:bCs/>
          <w:color w:val="333333"/>
          <w:sz w:val="32"/>
          <w:szCs w:val="32"/>
        </w:rPr>
      </w:pPr>
      <w:r>
        <w:rPr>
          <w:rFonts w:ascii="楷体_GB2312" w:eastAsia="楷体_GB2312" w:hAnsi="楷体_GB2312" w:cs="楷体_GB2312" w:hint="eastAsia"/>
          <w:b/>
          <w:bCs/>
          <w:color w:val="333333"/>
          <w:sz w:val="32"/>
          <w:szCs w:val="32"/>
        </w:rPr>
        <w:t>第十章</w:t>
      </w:r>
      <w:r w:rsidR="00017A73">
        <w:rPr>
          <w:rFonts w:ascii="楷体_GB2312" w:eastAsia="楷体_GB2312" w:hAnsi="楷体_GB2312" w:cs="楷体_GB2312" w:hint="eastAsia"/>
          <w:b/>
          <w:bCs/>
          <w:color w:val="333333"/>
          <w:sz w:val="32"/>
          <w:szCs w:val="32"/>
        </w:rPr>
        <w:t xml:space="preserve">  </w:t>
      </w:r>
      <w:r>
        <w:rPr>
          <w:rFonts w:ascii="楷体_GB2312" w:eastAsia="楷体_GB2312" w:hAnsi="楷体_GB2312" w:cs="楷体_GB2312" w:hint="eastAsia"/>
          <w:b/>
          <w:bCs/>
          <w:color w:val="333333"/>
          <w:sz w:val="32"/>
          <w:szCs w:val="32"/>
        </w:rPr>
        <w:t>双口网络</w:t>
      </w:r>
    </w:p>
    <w:p w14:paraId="030D163F" w14:textId="33606228" w:rsidR="00BE036E" w:rsidRPr="00F73965" w:rsidRDefault="00000000" w:rsidP="00F73965">
      <w:pPr>
        <w:pStyle w:val="HTML"/>
        <w:shd w:val="clear" w:color="auto" w:fill="FFFFFF"/>
        <w:spacing w:after="0"/>
        <w:ind w:firstLineChars="150" w:firstLine="480"/>
        <w:jc w:val="both"/>
        <w:rPr>
          <w:rFonts w:ascii="楷体_GB2312" w:eastAsia="楷体_GB2312" w:hAnsi="楷体_GB2312" w:cs="楷体_GB2312" w:hint="eastAsia"/>
          <w:b/>
          <w:bCs/>
          <w:color w:val="333333"/>
          <w:sz w:val="32"/>
          <w:szCs w:val="32"/>
        </w:rPr>
      </w:pPr>
      <w:r>
        <w:rPr>
          <w:rFonts w:ascii="仿宋" w:eastAsia="仿宋" w:hAnsi="仿宋" w:cs="Times New Roman" w:hint="eastAsia"/>
          <w:color w:val="000000"/>
          <w:kern w:val="2"/>
          <w:sz w:val="32"/>
          <w:szCs w:val="21"/>
        </w:rPr>
        <w:t>掌握双</w:t>
      </w:r>
      <w:proofErr w:type="gramStart"/>
      <w:r>
        <w:rPr>
          <w:rFonts w:ascii="仿宋" w:eastAsia="仿宋" w:hAnsi="仿宋" w:cs="Times New Roman" w:hint="eastAsia"/>
          <w:color w:val="000000"/>
          <w:kern w:val="2"/>
          <w:sz w:val="32"/>
          <w:szCs w:val="21"/>
        </w:rPr>
        <w:t>口网络</w:t>
      </w:r>
      <w:proofErr w:type="gramEnd"/>
      <w:r>
        <w:rPr>
          <w:rFonts w:ascii="仿宋" w:eastAsia="仿宋" w:hAnsi="仿宋" w:cs="Times New Roman" w:hint="eastAsia"/>
          <w:color w:val="000000"/>
          <w:kern w:val="2"/>
          <w:sz w:val="32"/>
          <w:szCs w:val="21"/>
        </w:rPr>
        <w:t>的基本概念和参数方程；掌握含双</w:t>
      </w:r>
      <w:proofErr w:type="gramStart"/>
      <w:r>
        <w:rPr>
          <w:rFonts w:ascii="仿宋" w:eastAsia="仿宋" w:hAnsi="仿宋" w:cs="Times New Roman" w:hint="eastAsia"/>
          <w:color w:val="000000"/>
          <w:kern w:val="2"/>
          <w:sz w:val="32"/>
          <w:szCs w:val="21"/>
        </w:rPr>
        <w:t>口网络</w:t>
      </w:r>
      <w:proofErr w:type="gramEnd"/>
      <w:r>
        <w:rPr>
          <w:rFonts w:ascii="仿宋" w:eastAsia="仿宋" w:hAnsi="仿宋" w:cs="Times New Roman" w:hint="eastAsia"/>
          <w:color w:val="000000"/>
          <w:kern w:val="2"/>
          <w:sz w:val="32"/>
          <w:szCs w:val="21"/>
        </w:rPr>
        <w:t>的电路分析。掌握互易双</w:t>
      </w:r>
      <w:proofErr w:type="gramStart"/>
      <w:r>
        <w:rPr>
          <w:rFonts w:ascii="仿宋" w:eastAsia="仿宋" w:hAnsi="仿宋" w:cs="Times New Roman" w:hint="eastAsia"/>
          <w:color w:val="000000"/>
          <w:kern w:val="2"/>
          <w:sz w:val="32"/>
          <w:szCs w:val="21"/>
        </w:rPr>
        <w:t>口网络</w:t>
      </w:r>
      <w:proofErr w:type="gramEnd"/>
      <w:r>
        <w:rPr>
          <w:rFonts w:ascii="仿宋" w:eastAsia="仿宋" w:hAnsi="仿宋" w:cs="Times New Roman" w:hint="eastAsia"/>
          <w:color w:val="000000"/>
          <w:kern w:val="2"/>
          <w:sz w:val="32"/>
          <w:szCs w:val="21"/>
        </w:rPr>
        <w:t>的等效</w:t>
      </w:r>
      <w:r w:rsidR="00AC058D">
        <w:rPr>
          <w:rFonts w:ascii="仿宋" w:eastAsia="仿宋" w:hAnsi="仿宋" w:cs="Times New Roman" w:hint="eastAsia"/>
          <w:color w:val="000000"/>
          <w:kern w:val="2"/>
          <w:sz w:val="32"/>
          <w:szCs w:val="21"/>
        </w:rPr>
        <w:t>电路</w:t>
      </w:r>
      <w:r>
        <w:rPr>
          <w:rFonts w:ascii="仿宋" w:eastAsia="仿宋" w:hAnsi="仿宋" w:cs="Times New Roman" w:hint="eastAsia"/>
          <w:color w:val="000000"/>
          <w:kern w:val="2"/>
          <w:sz w:val="32"/>
          <w:szCs w:val="21"/>
        </w:rPr>
        <w:t>和非互易双</w:t>
      </w:r>
      <w:proofErr w:type="gramStart"/>
      <w:r>
        <w:rPr>
          <w:rFonts w:ascii="仿宋" w:eastAsia="仿宋" w:hAnsi="仿宋" w:cs="Times New Roman" w:hint="eastAsia"/>
          <w:color w:val="000000"/>
          <w:kern w:val="2"/>
          <w:sz w:val="32"/>
          <w:szCs w:val="21"/>
        </w:rPr>
        <w:t>口网络</w:t>
      </w:r>
      <w:proofErr w:type="gramEnd"/>
      <w:r>
        <w:rPr>
          <w:rFonts w:ascii="仿宋" w:eastAsia="仿宋" w:hAnsi="仿宋" w:cs="Times New Roman" w:hint="eastAsia"/>
          <w:color w:val="000000"/>
          <w:kern w:val="2"/>
          <w:sz w:val="32"/>
          <w:szCs w:val="21"/>
        </w:rPr>
        <w:t>的等效</w:t>
      </w:r>
      <w:r w:rsidR="00AC058D">
        <w:rPr>
          <w:rFonts w:ascii="仿宋" w:eastAsia="仿宋" w:hAnsi="仿宋" w:cs="Times New Roman" w:hint="eastAsia"/>
          <w:color w:val="000000"/>
          <w:kern w:val="2"/>
          <w:sz w:val="32"/>
          <w:szCs w:val="21"/>
        </w:rPr>
        <w:t>电路</w:t>
      </w:r>
      <w:r>
        <w:rPr>
          <w:rFonts w:ascii="仿宋" w:eastAsia="仿宋" w:hAnsi="仿宋" w:cs="Times New Roman" w:hint="eastAsia"/>
          <w:color w:val="000000"/>
          <w:kern w:val="2"/>
          <w:sz w:val="32"/>
          <w:szCs w:val="21"/>
        </w:rPr>
        <w:t>。</w:t>
      </w:r>
    </w:p>
    <w:p w14:paraId="6863FC7A" w14:textId="77777777" w:rsidR="00F73965" w:rsidRDefault="00F73965" w:rsidP="00F73965">
      <w:pPr>
        <w:pStyle w:val="HTML"/>
        <w:shd w:val="clear" w:color="auto" w:fill="FFFFFF"/>
        <w:spacing w:after="0"/>
        <w:ind w:firstLineChars="150" w:firstLine="482"/>
        <w:jc w:val="both"/>
        <w:rPr>
          <w:rFonts w:ascii="楷体_GB2312" w:eastAsia="楷体_GB2312" w:hAnsi="楷体_GB2312" w:cs="楷体_GB2312"/>
          <w:b/>
          <w:bCs/>
          <w:color w:val="333333"/>
          <w:sz w:val="32"/>
          <w:szCs w:val="32"/>
        </w:rPr>
      </w:pPr>
      <w:r>
        <w:rPr>
          <w:rFonts w:ascii="楷体_GB2312" w:eastAsia="楷体_GB2312" w:hAnsi="楷体_GB2312" w:cs="楷体_GB2312" w:hint="eastAsia"/>
          <w:b/>
          <w:bCs/>
          <w:color w:val="333333"/>
          <w:sz w:val="32"/>
          <w:szCs w:val="32"/>
        </w:rPr>
        <w:t xml:space="preserve">第十一章  </w:t>
      </w:r>
      <w:r w:rsidR="00000000">
        <w:rPr>
          <w:rFonts w:ascii="楷体_GB2312" w:eastAsia="楷体_GB2312" w:hAnsi="楷体_GB2312" w:cs="楷体_GB2312" w:hint="eastAsia"/>
          <w:b/>
          <w:bCs/>
          <w:color w:val="333333"/>
          <w:sz w:val="32"/>
          <w:szCs w:val="32"/>
        </w:rPr>
        <w:t>非线性电阻电路</w:t>
      </w:r>
    </w:p>
    <w:p w14:paraId="339AA01E" w14:textId="685D8FD6" w:rsidR="00BE036E" w:rsidRDefault="00000000" w:rsidP="00F73965">
      <w:pPr>
        <w:pStyle w:val="HTML"/>
        <w:shd w:val="clear" w:color="auto" w:fill="FFFFFF"/>
        <w:spacing w:after="0"/>
        <w:ind w:firstLineChars="150" w:firstLine="480"/>
        <w:jc w:val="both"/>
        <w:rPr>
          <w:rFonts w:ascii="楷体_GB2312" w:eastAsia="楷体_GB2312" w:hAnsi="楷体_GB2312" w:cs="楷体_GB2312" w:hint="eastAsia"/>
          <w:b/>
          <w:bCs/>
          <w:color w:val="333333"/>
          <w:sz w:val="32"/>
          <w:szCs w:val="32"/>
        </w:rPr>
      </w:pPr>
      <w:r>
        <w:rPr>
          <w:rFonts w:ascii="仿宋" w:eastAsia="仿宋" w:hAnsi="仿宋" w:cs="Times New Roman" w:hint="eastAsia"/>
          <w:color w:val="000000"/>
          <w:kern w:val="2"/>
          <w:sz w:val="32"/>
          <w:szCs w:val="21"/>
        </w:rPr>
        <w:lastRenderedPageBreak/>
        <w:t>熟练掌握非线性电阻特性；掌握非线性电阻电路的分析方法，结合实例，说明非线性电阻在电路中的作用。</w:t>
      </w:r>
    </w:p>
    <w:p w14:paraId="4DFD63D5" w14:textId="77777777" w:rsidR="00BE036E" w:rsidRDefault="00BE036E" w:rsidP="00F73965">
      <w:pPr>
        <w:spacing w:after="0"/>
        <w:ind w:firstLineChars="200" w:firstLine="640"/>
        <w:rPr>
          <w:rFonts w:ascii="仿宋" w:eastAsia="仿宋" w:hAnsi="仿宋" w:cs="Times New Roman" w:hint="eastAsia"/>
          <w:color w:val="000000"/>
          <w:sz w:val="32"/>
          <w:szCs w:val="21"/>
        </w:rPr>
      </w:pPr>
    </w:p>
    <w:p w14:paraId="0CEBC06B" w14:textId="77777777" w:rsidR="00BE036E" w:rsidRDefault="00BE036E" w:rsidP="00532CE5">
      <w:pPr>
        <w:ind w:firstLineChars="200" w:firstLine="640"/>
        <w:rPr>
          <w:rFonts w:ascii="仿宋" w:eastAsia="仿宋" w:hAnsi="仿宋" w:cs="Times New Roman" w:hint="eastAsia"/>
          <w:color w:val="000000"/>
          <w:sz w:val="32"/>
          <w:szCs w:val="21"/>
        </w:rPr>
      </w:pPr>
    </w:p>
    <w:p w14:paraId="4B417AC6" w14:textId="77777777" w:rsidR="00BE036E" w:rsidRDefault="00BE036E" w:rsidP="00532CE5">
      <w:pPr>
        <w:ind w:firstLineChars="200" w:firstLine="640"/>
        <w:rPr>
          <w:rFonts w:ascii="仿宋" w:eastAsia="仿宋" w:hAnsi="仿宋" w:cs="Times New Roman" w:hint="eastAsia"/>
          <w:color w:val="000000"/>
          <w:sz w:val="32"/>
          <w:szCs w:val="21"/>
        </w:rPr>
      </w:pPr>
    </w:p>
    <w:p w14:paraId="2A0FD6B9" w14:textId="77777777" w:rsidR="00BE036E" w:rsidRDefault="00BE036E" w:rsidP="00532CE5"/>
    <w:p w14:paraId="3CAD340D" w14:textId="77777777" w:rsidR="00BE036E" w:rsidRDefault="00BE036E" w:rsidP="00532CE5">
      <w:pPr>
        <w:pStyle w:val="a6"/>
        <w:shd w:val="clear" w:color="auto" w:fill="FFFFFF"/>
        <w:spacing w:before="0" w:beforeAutospacing="0" w:after="0" w:afterAutospacing="0"/>
        <w:ind w:firstLine="640"/>
        <w:jc w:val="both"/>
        <w:rPr>
          <w:rFonts w:ascii="仿宋" w:eastAsia="仿宋" w:hAnsi="仿宋" w:cs="Times New Roman" w:hint="eastAsia"/>
          <w:color w:val="000000"/>
          <w:kern w:val="2"/>
          <w:sz w:val="32"/>
          <w:szCs w:val="21"/>
        </w:rPr>
      </w:pPr>
    </w:p>
    <w:sectPr w:rsidR="00BE036E">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E0121F" w14:textId="77777777" w:rsidR="00B23569" w:rsidRDefault="00B23569">
      <w:pPr>
        <w:spacing w:line="240" w:lineRule="auto"/>
      </w:pPr>
      <w:r>
        <w:separator/>
      </w:r>
    </w:p>
  </w:endnote>
  <w:endnote w:type="continuationSeparator" w:id="0">
    <w:p w14:paraId="3019E32D" w14:textId="77777777" w:rsidR="00B23569" w:rsidRDefault="00B2356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98D2B4" w14:textId="77777777" w:rsidR="00BE036E" w:rsidRDefault="00000000">
    <w:pPr>
      <w:pStyle w:val="a5"/>
    </w:pPr>
    <w:r>
      <w:rPr>
        <w:noProof/>
      </w:rPr>
      <mc:AlternateContent>
        <mc:Choice Requires="wps">
          <w:drawing>
            <wp:anchor distT="0" distB="0" distL="114300" distR="114300" simplePos="0" relativeHeight="251659264" behindDoc="0" locked="0" layoutInCell="1" allowOverlap="1" wp14:anchorId="780DC860" wp14:editId="43CCF1C0">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28633BBA" w14:textId="77777777" w:rsidR="00BE036E" w:rsidRDefault="00000000">
                          <w:pPr>
                            <w:pStyle w:val="a5"/>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780DC860"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" filled="f" stroked="f" strokeweight=".5pt">
              <v:textbox style="mso-fit-shape-to-text:t" inset="0,0,0,0">
                <w:txbxContent>
                  <w:p w14:paraId="28633BBA" w14:textId="77777777" w:rsidR="00BE036E" w:rsidRDefault="00000000">
                    <w:pPr>
                      <w:pStyle w:val="a5"/>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1E519E" w14:textId="77777777" w:rsidR="00B23569" w:rsidRDefault="00B23569">
      <w:pPr>
        <w:spacing w:after="0"/>
      </w:pPr>
      <w:r>
        <w:separator/>
      </w:r>
    </w:p>
  </w:footnote>
  <w:footnote w:type="continuationSeparator" w:id="0">
    <w:p w14:paraId="6683D3E2" w14:textId="77777777" w:rsidR="00B23569" w:rsidRDefault="00B23569">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ED2B354"/>
    <w:multiLevelType w:val="singleLevel"/>
    <w:tmpl w:val="8ED2B354"/>
    <w:lvl w:ilvl="0">
      <w:start w:val="11"/>
      <w:numFmt w:val="chineseCounting"/>
      <w:suff w:val="space"/>
      <w:lvlText w:val="第%1章"/>
      <w:lvlJc w:val="left"/>
      <w:rPr>
        <w:rFonts w:hint="eastAsia"/>
      </w:rPr>
    </w:lvl>
  </w:abstractNum>
  <w:num w:numId="1" w16cid:durableId="803016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mJiYzc2NTZhYTJhMTkwYjQ2MzA2Mjg4NDNjYTUyMDYifQ=="/>
  </w:docVars>
  <w:rsids>
    <w:rsidRoot w:val="003030E5"/>
    <w:rsid w:val="00017A73"/>
    <w:rsid w:val="000D25F4"/>
    <w:rsid w:val="00113748"/>
    <w:rsid w:val="00130047"/>
    <w:rsid w:val="00181A43"/>
    <w:rsid w:val="00191599"/>
    <w:rsid w:val="002513C2"/>
    <w:rsid w:val="002C7AAD"/>
    <w:rsid w:val="002F25AB"/>
    <w:rsid w:val="003030E5"/>
    <w:rsid w:val="003758B0"/>
    <w:rsid w:val="00406A53"/>
    <w:rsid w:val="0043497D"/>
    <w:rsid w:val="00442787"/>
    <w:rsid w:val="00451704"/>
    <w:rsid w:val="0051095C"/>
    <w:rsid w:val="00532CE5"/>
    <w:rsid w:val="0053650D"/>
    <w:rsid w:val="00572B86"/>
    <w:rsid w:val="005A3F2B"/>
    <w:rsid w:val="005E24FB"/>
    <w:rsid w:val="00641E28"/>
    <w:rsid w:val="006B124A"/>
    <w:rsid w:val="006F196F"/>
    <w:rsid w:val="00715AD0"/>
    <w:rsid w:val="00735579"/>
    <w:rsid w:val="007F70A1"/>
    <w:rsid w:val="00802FD9"/>
    <w:rsid w:val="00830A12"/>
    <w:rsid w:val="00887455"/>
    <w:rsid w:val="00891819"/>
    <w:rsid w:val="008A003B"/>
    <w:rsid w:val="008A1D87"/>
    <w:rsid w:val="00975F5B"/>
    <w:rsid w:val="009C22C0"/>
    <w:rsid w:val="009F425F"/>
    <w:rsid w:val="00A21B7F"/>
    <w:rsid w:val="00A44F6E"/>
    <w:rsid w:val="00AC058D"/>
    <w:rsid w:val="00AF5EF9"/>
    <w:rsid w:val="00B04BF3"/>
    <w:rsid w:val="00B07D16"/>
    <w:rsid w:val="00B23569"/>
    <w:rsid w:val="00B3101B"/>
    <w:rsid w:val="00B962C6"/>
    <w:rsid w:val="00BE036E"/>
    <w:rsid w:val="00C07B13"/>
    <w:rsid w:val="00C2234D"/>
    <w:rsid w:val="00CA0577"/>
    <w:rsid w:val="00D324BB"/>
    <w:rsid w:val="00DF25CF"/>
    <w:rsid w:val="00E26865"/>
    <w:rsid w:val="00E7043D"/>
    <w:rsid w:val="00F11B9E"/>
    <w:rsid w:val="00F247E4"/>
    <w:rsid w:val="00F42218"/>
    <w:rsid w:val="00F73965"/>
    <w:rsid w:val="00F811E0"/>
    <w:rsid w:val="00F85F9B"/>
    <w:rsid w:val="03337419"/>
    <w:rsid w:val="085511D2"/>
    <w:rsid w:val="0F934FCC"/>
    <w:rsid w:val="0FA841E1"/>
    <w:rsid w:val="141728CF"/>
    <w:rsid w:val="1A0D0200"/>
    <w:rsid w:val="1EFE5F8F"/>
    <w:rsid w:val="26501BA9"/>
    <w:rsid w:val="2F6A31D3"/>
    <w:rsid w:val="335F0A85"/>
    <w:rsid w:val="3AA85975"/>
    <w:rsid w:val="403F4116"/>
    <w:rsid w:val="40D24565"/>
    <w:rsid w:val="48AF1FF3"/>
    <w:rsid w:val="4DEC320F"/>
    <w:rsid w:val="52663019"/>
    <w:rsid w:val="55013E8F"/>
    <w:rsid w:val="558A606D"/>
    <w:rsid w:val="5B1B5990"/>
    <w:rsid w:val="5E2B7DB2"/>
    <w:rsid w:val="63BB1B70"/>
    <w:rsid w:val="66770C98"/>
    <w:rsid w:val="681B3B4C"/>
    <w:rsid w:val="6F322A2C"/>
    <w:rsid w:val="6FA359D1"/>
    <w:rsid w:val="708706F4"/>
    <w:rsid w:val="71F00757"/>
    <w:rsid w:val="7BC2001A"/>
    <w:rsid w:val="7E0E1A8A"/>
    <w:rsid w:val="7E5156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1867E97"/>
  <w15:docId w15:val="{462C0FDB-FB0C-4FAE-9669-7977C5E99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Hyperlink" w:uiPriority="99" w:unhideWhenUsed="1"/>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HTML Preformatted" w:uiPriority="99" w:unhideWhenUsed="1"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spacing w:after="160" w:line="278" w:lineRule="auto"/>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Pr>
      <w:sz w:val="18"/>
      <w:szCs w:val="18"/>
    </w:rPr>
  </w:style>
  <w:style w:type="paragraph" w:styleId="a5">
    <w:name w:val="footer"/>
    <w:basedOn w:val="a"/>
    <w:qFormat/>
    <w:pPr>
      <w:tabs>
        <w:tab w:val="center" w:pos="4153"/>
        <w:tab w:val="right" w:pos="8306"/>
      </w:tabs>
      <w:snapToGrid w:val="0"/>
      <w:jc w:val="left"/>
    </w:pPr>
    <w:rPr>
      <w:sz w:val="18"/>
    </w:rPr>
  </w:style>
  <w:style w:type="paragraph" w:styleId="HTML">
    <w:name w:val="HTML Preformatted"/>
    <w:basedOn w:val="a"/>
    <w:link w:val="HTML0"/>
    <w:uiPriority w:val="99"/>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paragraph" w:styleId="a6">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a7">
    <w:name w:val="Table Grid"/>
    <w:basedOn w:val="a1"/>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Strong"/>
    <w:basedOn w:val="a0"/>
    <w:uiPriority w:val="22"/>
    <w:qFormat/>
    <w:rPr>
      <w:b/>
      <w:bCs/>
    </w:rPr>
  </w:style>
  <w:style w:type="character" w:styleId="a9">
    <w:name w:val="Hyperlink"/>
    <w:basedOn w:val="a0"/>
    <w:uiPriority w:val="99"/>
    <w:unhideWhenUsed/>
    <w:rPr>
      <w:color w:val="0000FF"/>
      <w:u w:val="single"/>
    </w:rPr>
  </w:style>
  <w:style w:type="character" w:customStyle="1" w:styleId="apple-converted-space">
    <w:name w:val="apple-converted-space"/>
    <w:basedOn w:val="a0"/>
  </w:style>
  <w:style w:type="character" w:customStyle="1" w:styleId="a4">
    <w:name w:val="批注框文本 字符"/>
    <w:basedOn w:val="a0"/>
    <w:link w:val="a3"/>
    <w:qFormat/>
    <w:rPr>
      <w:rFonts w:eastAsiaTheme="minorEastAsia"/>
      <w:kern w:val="2"/>
      <w:sz w:val="18"/>
      <w:szCs w:val="18"/>
    </w:rPr>
  </w:style>
  <w:style w:type="character" w:customStyle="1" w:styleId="HTML0">
    <w:name w:val="HTML 预设格式 字符"/>
    <w:basedOn w:val="a0"/>
    <w:link w:val="HTML"/>
    <w:uiPriority w:val="99"/>
    <w:qFormat/>
    <w:rPr>
      <w:rFonts w:ascii="宋体" w:eastAsia="宋体" w:hAnsi="宋体" w:cs="宋体"/>
      <w:sz w:val="24"/>
      <w:szCs w:val="24"/>
    </w:rPr>
  </w:style>
  <w:style w:type="paragraph" w:styleId="aa">
    <w:name w:val="header"/>
    <w:basedOn w:val="a"/>
    <w:link w:val="ab"/>
    <w:rsid w:val="00532CE5"/>
    <w:pPr>
      <w:tabs>
        <w:tab w:val="center" w:pos="4153"/>
        <w:tab w:val="right" w:pos="8306"/>
      </w:tabs>
      <w:snapToGrid w:val="0"/>
      <w:spacing w:line="240" w:lineRule="auto"/>
      <w:jc w:val="center"/>
    </w:pPr>
    <w:rPr>
      <w:sz w:val="18"/>
      <w:szCs w:val="18"/>
    </w:rPr>
  </w:style>
  <w:style w:type="character" w:customStyle="1" w:styleId="ab">
    <w:name w:val="页眉 字符"/>
    <w:basedOn w:val="a0"/>
    <w:link w:val="aa"/>
    <w:rsid w:val="00532CE5"/>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4</Pages>
  <Words>197</Words>
  <Characters>1123</Characters>
  <Application>Microsoft Office Word</Application>
  <DocSecurity>0</DocSecurity>
  <Lines>9</Lines>
  <Paragraphs>2</Paragraphs>
  <ScaleCrop>false</ScaleCrop>
  <Company/>
  <LinksUpToDate>false</LinksUpToDate>
  <CharactersWithSpaces>1318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SJ D</cp:lastModifiedBy>
  <cp:revision>15</cp:revision>
  <dcterms:created xsi:type="dcterms:W3CDTF">2020-06-18T08:06:00Z</dcterms:created>
  <dcterms:modified xsi:type="dcterms:W3CDTF">2026-01-27T07:14:00Z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75A582AB70CA431D830CFD15558992D0_13</vt:lpwstr>
  </property>
  <property fmtid="{D5CDD505-2E9C-101B-9397-08002B2CF9AE}" pid="4" name="KSOTemplateDocerSaveRecord">
    <vt:lpwstr>eyJoZGlkIjoiMjNlYTc4NTRlYmU0NWU3MDc4NDYzYTcwYjdkYTYzZWUiLCJ1c2VySWQiOiI0MzAyMDAxMzMifQ==</vt:lpwstr>
  </property>
</Properties>
</file>