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 w14:paraId="136EA642">
      <w:pPr>
        <w:pStyle w:val="style0"/>
        <w:jc w:val="center"/>
        <w:outlineLvl w:val="0"/>
        <w:rPr>
          <w:rFonts w:ascii="Times New Roman" w:cs="Times New Roman" w:eastAsia="方正小标宋简体" w:hAnsi="Times New Roman"/>
          <w:color w:val="000000"/>
          <w:kern w:val="0"/>
          <w:sz w:val="44"/>
          <w:szCs w:val="44"/>
        </w:rPr>
      </w:pPr>
      <w:bookmarkStart w:id="0" w:name="_Toc8725"/>
      <w:r>
        <w:rPr>
          <w:rFonts w:ascii="Times New Roman" w:cs="Times New Roman" w:eastAsia="方正小标宋简体" w:hAnsi="Times New Roman"/>
          <w:color w:val="000000"/>
          <w:kern w:val="0"/>
          <w:sz w:val="44"/>
          <w:szCs w:val="44"/>
        </w:rPr>
        <w:t>《口腔解剖生理学》专升本考试大纲</w:t>
      </w:r>
      <w:bookmarkEnd w:id="0"/>
    </w:p>
    <w:p w14:paraId="7D358455">
      <w:pPr>
        <w:pStyle w:val="style0"/>
        <w:spacing w:lineRule="exact" w:line="480"/>
        <w:jc w:val="center"/>
        <w:rPr>
          <w:rFonts w:ascii="Times New Roman" w:cs="Times New Roman" w:eastAsia="方正小标宋简体" w:hAnsi="Times New Roman"/>
          <w:color w:val="000000"/>
          <w:kern w:val="0"/>
          <w:sz w:val="44"/>
          <w:szCs w:val="44"/>
        </w:rPr>
      </w:pPr>
    </w:p>
    <w:p w14:paraId="1F0B26D6">
      <w:pPr>
        <w:pStyle w:val="style94"/>
        <w:shd w:val="clear" w:color="auto" w:fill="ffffff"/>
        <w:spacing w:before="0" w:beforeAutospacing="false" w:after="0" w:afterAutospacing="false"/>
        <w:ind w:firstLine="482"/>
        <w:jc w:val="both"/>
        <w:rPr>
          <w:rFonts w:ascii="Times New Roman" w:cs="Times New Roman" w:eastAsia="仿宋" w:hAnsi="Times New Roman"/>
          <w:color w:val="000000"/>
          <w:sz w:val="32"/>
          <w:szCs w:val="21"/>
          <w:lang w:val="zh-CN"/>
        </w:rPr>
      </w:pPr>
      <w:r>
        <w:rPr>
          <w:rFonts w:ascii="Times New Roman" w:cs="Times New Roman" w:eastAsia="黑体" w:hAnsi="Times New Roman" w:hint="eastAsia"/>
          <w:color w:val="000000"/>
          <w:kern w:val="2"/>
          <w:sz w:val="32"/>
          <w:szCs w:val="21"/>
          <w:lang w:val="zh-CN"/>
        </w:rPr>
        <w:t>一、考试科目：</w:t>
      </w:r>
      <w:r>
        <w:rPr>
          <w:rFonts w:ascii="Times New Roman" w:cs="Times New Roman" w:eastAsia="仿宋" w:hAnsi="Times New Roman" w:hint="eastAsia"/>
          <w:color w:val="000000"/>
          <w:sz w:val="32"/>
          <w:szCs w:val="21"/>
          <w:lang w:val="zh-CN"/>
        </w:rPr>
        <w:t>《</w:t>
      </w:r>
      <w:r>
        <w:rPr>
          <w:rFonts w:ascii="Times New Roman" w:cs="Times New Roman" w:eastAsia="仿宋" w:hAnsi="Times New Roman" w:hint="eastAsia"/>
          <w:color w:val="000000"/>
          <w:sz w:val="32"/>
          <w:szCs w:val="21"/>
        </w:rPr>
        <w:t>口腔解剖生理学</w:t>
      </w:r>
      <w:r>
        <w:rPr>
          <w:rFonts w:ascii="Times New Roman" w:cs="Times New Roman" w:eastAsia="仿宋" w:hAnsi="Times New Roman" w:hint="eastAsia"/>
          <w:color w:val="000000"/>
          <w:sz w:val="32"/>
          <w:szCs w:val="21"/>
          <w:lang w:val="zh-CN"/>
        </w:rPr>
        <w:t>》</w:t>
      </w:r>
    </w:p>
    <w:p w14:paraId="020B2392">
      <w:pPr>
        <w:pStyle w:val="style94"/>
        <w:shd w:val="clear" w:color="auto" w:fill="ffffff"/>
        <w:spacing w:before="0" w:beforeAutospacing="false" w:after="0" w:afterAutospacing="false"/>
        <w:ind w:firstLine="482"/>
        <w:jc w:val="both"/>
        <w:rPr>
          <w:rFonts w:ascii="仿宋" w:cs="Times New Roman" w:eastAsia="仿宋" w:hAnsi="仿宋"/>
          <w:color w:val="000000"/>
          <w:sz w:val="32"/>
          <w:szCs w:val="21"/>
          <w:lang w:val="zh-CN"/>
        </w:rPr>
      </w:pPr>
      <w:r>
        <w:rPr>
          <w:rFonts w:ascii="黑体" w:cs="Times New Roman" w:eastAsia="黑体" w:hAnsi="黑体" w:hint="eastAsia"/>
          <w:color w:val="000000"/>
          <w:kern w:val="2"/>
          <w:sz w:val="32"/>
          <w:szCs w:val="21"/>
          <w:lang w:val="zh-CN"/>
        </w:rPr>
        <w:t>二、考试方式：</w:t>
      </w:r>
      <w:r>
        <w:rPr>
          <w:rFonts w:ascii="仿宋" w:cs="Times New Roman" w:eastAsia="仿宋" w:hAnsi="仿宋" w:hint="eastAsia"/>
          <w:color w:val="000000"/>
          <w:sz w:val="32"/>
          <w:szCs w:val="21"/>
          <w:lang w:val="zh-CN"/>
        </w:rPr>
        <w:t>闭卷</w:t>
      </w:r>
    </w:p>
    <w:p w14:paraId="74A05396">
      <w:pPr>
        <w:pStyle w:val="style94"/>
        <w:shd w:val="clear" w:color="auto" w:fill="ffffff"/>
        <w:spacing w:before="0" w:beforeAutospacing="false" w:after="0" w:afterAutospacing="false"/>
        <w:ind w:firstLine="482"/>
        <w:jc w:val="both"/>
        <w:rPr>
          <w:rFonts w:ascii="仿宋" w:cs="Times New Roman" w:eastAsia="仿宋" w:hAnsi="仿宋" w:hint="eastAsia"/>
          <w:color w:val="000000"/>
          <w:sz w:val="32"/>
          <w:szCs w:val="21"/>
          <w:lang w:val="zh-CN"/>
        </w:rPr>
      </w:pPr>
      <w:r>
        <w:rPr>
          <w:rFonts w:ascii="黑体" w:cs="Times New Roman" w:eastAsia="黑体" w:hAnsi="黑体" w:hint="eastAsia"/>
          <w:color w:val="000000"/>
          <w:kern w:val="2"/>
          <w:sz w:val="32"/>
          <w:szCs w:val="21"/>
          <w:lang w:val="zh-CN"/>
        </w:rPr>
        <w:t>三、考试时间：</w:t>
      </w:r>
      <w:r>
        <w:rPr>
          <w:rFonts w:ascii="仿宋" w:cs="Times New Roman" w:eastAsia="仿宋" w:hAnsi="仿宋" w:hint="eastAsia"/>
          <w:color w:val="000000"/>
          <w:sz w:val="32"/>
          <w:szCs w:val="21"/>
        </w:rPr>
        <w:t>12</w:t>
      </w:r>
      <w:r>
        <w:rPr>
          <w:rFonts w:ascii="仿宋" w:cs="Times New Roman" w:eastAsia="仿宋" w:hAnsi="仿宋" w:hint="eastAsia"/>
          <w:color w:val="000000"/>
          <w:sz w:val="32"/>
          <w:szCs w:val="21"/>
          <w:lang w:val="zh-CN"/>
        </w:rPr>
        <w:t>0分钟</w:t>
      </w:r>
    </w:p>
    <w:p w14:paraId="06B70130">
      <w:pPr>
        <w:pStyle w:val="style0"/>
        <w:ind w:firstLine="482"/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</w:pPr>
      <w:r>
        <w:rPr>
          <w:rFonts w:ascii="黑体" w:cs="Times New Roman" w:eastAsia="黑体" w:hAnsi="黑体" w:hint="eastAsia"/>
          <w:color w:val="000000"/>
          <w:sz w:val="32"/>
          <w:szCs w:val="21"/>
          <w:lang w:val="zh-CN"/>
        </w:rPr>
        <w:t>四、试卷</w:t>
      </w:r>
      <w:r>
        <w:rPr>
          <w:rFonts w:ascii="黑体" w:cs="Times New Roman" w:eastAsia="黑体" w:hAnsi="黑体" w:hint="eastAsia"/>
          <w:color w:val="000000"/>
          <w:sz w:val="32"/>
          <w:szCs w:val="21"/>
        </w:rPr>
        <w:t>分值</w:t>
      </w:r>
      <w:r>
        <w:rPr>
          <w:rFonts w:ascii="黑体" w:cs="Times New Roman" w:eastAsia="黑体" w:hAnsi="黑体" w:hint="eastAsia"/>
          <w:color w:val="000000"/>
          <w:sz w:val="32"/>
          <w:szCs w:val="21"/>
          <w:lang w:val="zh-CN"/>
        </w:rPr>
        <w:t>：</w:t>
      </w:r>
      <w:r>
        <w:rPr>
          <w:rFonts w:ascii="仿宋" w:cs="Times New Roman" w:eastAsia="仿宋" w:hAnsi="仿宋" w:hint="eastAsia"/>
          <w:color w:val="000000"/>
          <w:sz w:val="32"/>
          <w:szCs w:val="21"/>
          <w:lang w:val="zh-CN"/>
        </w:rPr>
        <w:t>总分100分</w:t>
      </w:r>
    </w:p>
    <w:p w14:paraId="38806D6D">
      <w:pPr>
        <w:pStyle w:val="style94"/>
        <w:shd w:val="clear" w:color="auto" w:fill="ffffff"/>
        <w:spacing w:before="0" w:beforeAutospacing="false" w:after="0" w:afterAutospacing="false" w:lineRule="atLeast" w:line="440"/>
        <w:ind w:firstLine="482"/>
        <w:jc w:val="both"/>
        <w:rPr>
          <w:rFonts w:ascii="Times New Roman" w:cs="Times New Roman" w:eastAsia="仿宋" w:hAnsi="Times New Roman" w:hint="eastAsia"/>
          <w:color w:val="000000"/>
          <w:sz w:val="32"/>
          <w:szCs w:val="21"/>
          <w:lang w:val="zh-CN"/>
        </w:rPr>
      </w:pPr>
      <w:r>
        <w:rPr>
          <w:rFonts w:ascii="黑体" w:cs="Times New Roman" w:eastAsia="黑体" w:hAnsi="黑体" w:hint="eastAsia"/>
          <w:color w:val="000000"/>
          <w:kern w:val="2"/>
          <w:sz w:val="32"/>
          <w:szCs w:val="21"/>
        </w:rPr>
        <w:t>五、题型范围：</w:t>
      </w:r>
      <w:r>
        <w:rPr>
          <w:rFonts w:ascii="仿宋" w:cs="Times New Roman" w:eastAsia="仿宋" w:hAnsi="仿宋" w:hint="eastAsia"/>
          <w:color w:val="000000"/>
          <w:sz w:val="32"/>
          <w:szCs w:val="21"/>
        </w:rPr>
        <w:t>无选择题，无判断题，其他题型不限</w:t>
      </w:r>
    </w:p>
    <w:p w14:paraId="3356E671">
      <w:pPr>
        <w:pStyle w:val="style94"/>
        <w:shd w:val="clear" w:color="auto" w:fill="ffffff"/>
        <w:spacing w:before="0" w:beforeAutospacing="false" w:after="0" w:afterAutospacing="false"/>
        <w:ind w:firstLine="480"/>
        <w:jc w:val="both"/>
        <w:rPr>
          <w:rFonts w:ascii="Times New Roman" w:cs="Times New Roman" w:eastAsia="黑体" w:hAnsi="Times New Roman"/>
          <w:color w:val="000000"/>
          <w:kern w:val="2"/>
          <w:sz w:val="32"/>
          <w:szCs w:val="21"/>
          <w:lang w:val="zh-CN"/>
        </w:rPr>
      </w:pPr>
      <w:r>
        <w:rPr>
          <w:rFonts w:ascii="Times New Roman" w:cs="Times New Roman" w:eastAsia="黑体" w:hAnsi="Times New Roman" w:hint="eastAsia"/>
          <w:color w:val="000000"/>
          <w:kern w:val="2"/>
          <w:sz w:val="32"/>
          <w:szCs w:val="21"/>
          <w:lang w:val="zh-CN"/>
        </w:rPr>
        <w:t>六</w:t>
      </w:r>
      <w:r>
        <w:rPr>
          <w:rFonts w:ascii="Times New Roman" w:cs="Times New Roman" w:eastAsia="黑体" w:hAnsi="Times New Roman"/>
          <w:color w:val="000000"/>
          <w:kern w:val="2"/>
          <w:sz w:val="32"/>
          <w:szCs w:val="21"/>
          <w:lang w:val="zh-CN"/>
        </w:rPr>
        <w:t>、考试的基本要求</w:t>
      </w:r>
    </w:p>
    <w:p w14:paraId="3DAE0500">
      <w:pPr>
        <w:pStyle w:val="style0"/>
        <w:spacing w:lineRule="exact" w:line="560"/>
        <w:ind w:firstLine="640" w:firstLineChars="200"/>
        <w:rPr>
          <w:rFonts w:ascii="Times New Roman" w:cs="Times New Roman" w:eastAsia="仿宋" w:hAnsi="Times New Roman"/>
          <w:b/>
          <w:bCs/>
          <w:color w:val="ff0000"/>
          <w:sz w:val="32"/>
          <w:szCs w:val="21"/>
        </w:rPr>
      </w:pPr>
      <w:r>
        <w:rPr>
          <w:rFonts w:ascii="Times New Roman" w:cs="Times New Roman" w:eastAsia="仿宋" w:hAnsi="Times New Roman"/>
          <w:color w:val="000000"/>
          <w:sz w:val="32"/>
          <w:szCs w:val="21"/>
          <w:lang w:val="zh-CN"/>
        </w:rPr>
        <w:t>《口腔解剖生理学》</w:t>
      </w:r>
      <w:r>
        <w:rPr>
          <w:rFonts w:ascii="Times New Roman" w:cs="Times New Roman" w:eastAsia="仿宋" w:hAnsi="Times New Roman"/>
          <w:color w:val="000000"/>
          <w:sz w:val="32"/>
          <w:szCs w:val="32"/>
        </w:rPr>
        <w:t>是口腔医学技术专业的重要基础课程，是一门以研究人体口腔、颌面、颈部诸部位的正常形态结构、功能活动规律及其临床应用为主要内容的学科，主要考查学生对口腔、颌面、颈部的层次关系和形态，辨识其结构特点，掌握其功能活动原理、发生条件及其影响因素等内容的掌握程度及与临床结合的应用能力。</w:t>
      </w:r>
    </w:p>
    <w:p w14:paraId="70CA5C12">
      <w:pPr>
        <w:pStyle w:val="style94"/>
        <w:shd w:val="clear" w:color="auto" w:fill="ffffff"/>
        <w:spacing w:before="0" w:beforeAutospacing="false" w:after="0" w:afterAutospacing="false" w:lineRule="atLeast" w:line="440"/>
        <w:ind w:firstLine="480"/>
        <w:jc w:val="both"/>
        <w:rPr>
          <w:rFonts w:ascii="Times New Roman" w:cs="Times New Roman" w:eastAsia="黑体" w:hAnsi="Times New Roman"/>
          <w:color w:val="000000"/>
          <w:kern w:val="2"/>
          <w:sz w:val="32"/>
          <w:szCs w:val="21"/>
          <w:lang w:val="zh-CN"/>
        </w:rPr>
      </w:pPr>
      <w:r>
        <w:rPr>
          <w:rFonts w:ascii="Times New Roman" w:cs="Times New Roman" w:eastAsia="黑体" w:hAnsi="Times New Roman" w:hint="eastAsia"/>
          <w:color w:val="000000"/>
          <w:kern w:val="2"/>
          <w:sz w:val="32"/>
          <w:szCs w:val="21"/>
          <w:lang w:val="zh-CN"/>
        </w:rPr>
        <w:t>七</w:t>
      </w:r>
      <w:r>
        <w:rPr>
          <w:rFonts w:ascii="Times New Roman" w:cs="Times New Roman" w:eastAsia="黑体" w:hAnsi="Times New Roman"/>
          <w:color w:val="000000"/>
          <w:kern w:val="2"/>
          <w:sz w:val="32"/>
          <w:szCs w:val="21"/>
          <w:lang w:val="zh-CN"/>
        </w:rPr>
        <w:t>、考试范围</w:t>
      </w:r>
    </w:p>
    <w:p w14:paraId="4895B717">
      <w:pPr>
        <w:pStyle w:val="style0"/>
        <w:autoSpaceDE w:val="false"/>
        <w:autoSpaceDN w:val="false"/>
        <w:adjustRightInd w:val="false"/>
        <w:spacing w:lineRule="atLeast" w:line="440"/>
        <w:ind w:firstLine="643" w:firstLineChars="200"/>
        <w:rPr>
          <w:rFonts w:ascii="楷体_GB2312" w:cs="楷体_GB2312" w:eastAsia="楷体_GB2312" w:hAnsi="楷体_GB2312" w:hint="eastAsia"/>
          <w:b/>
          <w:bCs w:val="false"/>
          <w:color w:val="000000"/>
          <w:kern w:val="0"/>
          <w:sz w:val="32"/>
          <w:szCs w:val="21"/>
          <w:lang w:val="zh-CN"/>
        </w:rPr>
      </w:pPr>
      <w:r>
        <w:rPr>
          <w:rFonts w:ascii="楷体_GB2312" w:cs="楷体_GB2312" w:eastAsia="楷体_GB2312" w:hAnsi="楷体_GB2312" w:hint="eastAsia"/>
          <w:b/>
          <w:bCs w:val="false"/>
          <w:color w:val="000000"/>
          <w:kern w:val="0"/>
          <w:sz w:val="32"/>
          <w:szCs w:val="21"/>
          <w:lang w:val="zh-CN"/>
        </w:rPr>
        <w:t>第</w:t>
      </w:r>
      <w:r>
        <w:rPr>
          <w:rFonts w:ascii="楷体_GB2312" w:cs="楷体_GB2312" w:eastAsia="楷体_GB2312" w:hAnsi="楷体_GB2312" w:hint="eastAsia"/>
          <w:b/>
          <w:bCs w:val="false"/>
          <w:color w:val="000000"/>
          <w:kern w:val="0"/>
          <w:sz w:val="32"/>
          <w:szCs w:val="21"/>
        </w:rPr>
        <w:t>2</w:t>
      </w:r>
      <w:r>
        <w:rPr>
          <w:rFonts w:ascii="楷体_GB2312" w:cs="楷体_GB2312" w:eastAsia="楷体_GB2312" w:hAnsi="楷体_GB2312" w:hint="eastAsia"/>
          <w:b/>
          <w:bCs w:val="false"/>
          <w:color w:val="000000"/>
          <w:kern w:val="0"/>
          <w:sz w:val="32"/>
          <w:szCs w:val="21"/>
          <w:lang w:val="zh-CN"/>
        </w:rPr>
        <w:t>章</w:t>
      </w:r>
      <w:r>
        <w:rPr>
          <w:rFonts w:ascii="楷体_GB2312" w:cs="楷体_GB2312" w:eastAsia="楷体_GB2312" w:hAnsi="楷体_GB2312" w:hint="eastAsia"/>
          <w:b/>
          <w:bCs w:val="false"/>
          <w:color w:val="000000"/>
          <w:kern w:val="0"/>
          <w:sz w:val="32"/>
          <w:szCs w:val="21"/>
        </w:rPr>
        <w:t xml:space="preserve"> </w:t>
      </w:r>
      <w:r>
        <w:rPr>
          <w:rFonts w:ascii="楷体_GB2312" w:cs="楷体_GB2312" w:eastAsia="楷体_GB2312" w:hAnsi="楷体_GB2312" w:hint="eastAsia"/>
          <w:b/>
          <w:bCs w:val="false"/>
          <w:color w:val="000000"/>
          <w:kern w:val="0"/>
          <w:sz w:val="32"/>
          <w:szCs w:val="21"/>
          <w:lang w:val="zh-CN"/>
        </w:rPr>
        <w:t>牙体解剖生理</w:t>
      </w:r>
    </w:p>
    <w:p w14:paraId="75C3EC85">
      <w:pPr>
        <w:pStyle w:val="style0"/>
        <w:widowControl/>
        <w:adjustRightInd w:val="false"/>
        <w:snapToGrid w:val="false"/>
        <w:spacing w:lineRule="auto" w:line="360"/>
        <w:ind w:firstLine="640" w:firstLineChars="200"/>
        <w:jc w:val="left"/>
        <w:rPr>
          <w:rFonts w:ascii="Times New Roman" w:cs="Times New Roman" w:eastAsia="仿宋" w:hAnsi="Times New Roman"/>
          <w:color w:val="000000"/>
          <w:kern w:val="0"/>
          <w:sz w:val="32"/>
          <w:szCs w:val="32"/>
        </w:rPr>
      </w:pPr>
      <w:r>
        <w:rPr>
          <w:rFonts w:ascii="Times New Roman" w:cs="Times New Roman" w:eastAsia="仿宋" w:hAnsi="Times New Roman"/>
          <w:color w:val="000000"/>
          <w:kern w:val="0"/>
          <w:sz w:val="32"/>
          <w:szCs w:val="32"/>
        </w:rPr>
        <w:t>了解</w:t>
      </w:r>
      <w:r>
        <w:rPr>
          <w:rFonts w:ascii="Times New Roman" w:cs="Times New Roman" w:eastAsia="仿宋" w:hAnsi="Times New Roman" w:hint="eastAsia"/>
          <w:color w:val="000000"/>
          <w:kern w:val="0"/>
          <w:sz w:val="32"/>
          <w:szCs w:val="32"/>
          <w:lang w:val="en-US" w:eastAsia="zh-CN"/>
        </w:rPr>
        <w:t>牙的演化，熟悉牙的组成和分类；掌握各类牙位记录方法；熟悉</w:t>
      </w:r>
      <w:r>
        <w:rPr>
          <w:rFonts w:ascii="Times New Roman" w:cs="Times New Roman" w:eastAsia="仿宋" w:hAnsi="Times New Roman"/>
          <w:color w:val="000000"/>
          <w:kern w:val="0"/>
          <w:sz w:val="32"/>
          <w:szCs w:val="32"/>
        </w:rPr>
        <w:t>牙体</w:t>
      </w:r>
      <w:r>
        <w:rPr>
          <w:rFonts w:ascii="Times New Roman" w:cs="Times New Roman" w:eastAsia="仿宋" w:hAnsi="Times New Roman" w:hint="eastAsia"/>
          <w:color w:val="000000"/>
          <w:kern w:val="0"/>
          <w:sz w:val="32"/>
          <w:szCs w:val="32"/>
          <w:lang w:val="en-US" w:eastAsia="zh-CN"/>
        </w:rPr>
        <w:t>形态的</w:t>
      </w:r>
      <w:r>
        <w:rPr>
          <w:rFonts w:ascii="Times New Roman" w:cs="Times New Roman" w:eastAsia="仿宋" w:hAnsi="Times New Roman"/>
          <w:color w:val="000000"/>
          <w:kern w:val="0"/>
          <w:sz w:val="32"/>
          <w:szCs w:val="32"/>
        </w:rPr>
        <w:t>生理功能及</w:t>
      </w:r>
      <w:r>
        <w:rPr>
          <w:rFonts w:ascii="Times New Roman" w:cs="Times New Roman" w:eastAsia="仿宋" w:hAnsi="Times New Roman" w:hint="eastAsia"/>
          <w:color w:val="000000"/>
          <w:kern w:val="0"/>
          <w:sz w:val="32"/>
          <w:szCs w:val="32"/>
          <w:lang w:val="en-US" w:eastAsia="zh-CN"/>
        </w:rPr>
        <w:t>意义</w:t>
      </w:r>
      <w:r>
        <w:rPr>
          <w:rFonts w:ascii="Times New Roman" w:cs="Times New Roman" w:eastAsia="仿宋" w:hAnsi="Times New Roman"/>
          <w:color w:val="000000"/>
          <w:kern w:val="0"/>
          <w:sz w:val="32"/>
          <w:szCs w:val="32"/>
        </w:rPr>
        <w:t>；</w:t>
      </w:r>
      <w:r>
        <w:rPr>
          <w:rFonts w:ascii="Times New Roman" w:cs="Times New Roman" w:eastAsia="仿宋" w:hAnsi="Times New Roman" w:hint="eastAsia"/>
          <w:color w:val="000000"/>
          <w:kern w:val="0"/>
          <w:sz w:val="32"/>
          <w:szCs w:val="32"/>
          <w:lang w:val="en-US" w:eastAsia="zh-CN"/>
        </w:rPr>
        <w:t>掌握乳恒牙的解剖形态、萌出顺序</w:t>
      </w:r>
      <w:r>
        <w:rPr>
          <w:rFonts w:ascii="Times New Roman" w:cs="Times New Roman" w:eastAsia="仿宋" w:hAnsi="Times New Roman"/>
          <w:color w:val="000000"/>
          <w:kern w:val="0"/>
          <w:sz w:val="32"/>
          <w:szCs w:val="32"/>
        </w:rPr>
        <w:t>和排列规律；掌握牙体解剖的基本概念、</w:t>
      </w:r>
      <w:r>
        <w:rPr>
          <w:rFonts w:ascii="Times New Roman" w:cs="Times New Roman" w:eastAsia="仿宋" w:hAnsi="Times New Roman" w:hint="eastAsia"/>
          <w:color w:val="000000"/>
          <w:kern w:val="0"/>
          <w:sz w:val="32"/>
          <w:szCs w:val="32"/>
          <w:lang w:val="en-US" w:eastAsia="zh-CN"/>
        </w:rPr>
        <w:t>常用名词和解剖标志；了解牙体髓腔形态</w:t>
      </w:r>
      <w:r>
        <w:rPr>
          <w:rFonts w:ascii="Times New Roman" w:cs="Times New Roman" w:eastAsia="仿宋" w:hAnsi="Times New Roman"/>
          <w:color w:val="000000"/>
          <w:kern w:val="0"/>
          <w:sz w:val="32"/>
          <w:szCs w:val="32"/>
        </w:rPr>
        <w:t>。</w:t>
      </w:r>
    </w:p>
    <w:p w14:paraId="18965F93">
      <w:pPr>
        <w:pStyle w:val="style0"/>
        <w:autoSpaceDE w:val="false"/>
        <w:autoSpaceDN w:val="false"/>
        <w:adjustRightInd w:val="false"/>
        <w:spacing w:lineRule="atLeast" w:line="440"/>
        <w:ind w:firstLine="643" w:firstLineChars="200"/>
        <w:rPr>
          <w:rFonts w:ascii="楷体_GB2312" w:cs="楷体_GB2312" w:eastAsia="楷体_GB2312" w:hAnsi="楷体_GB2312" w:hint="eastAsia"/>
          <w:b/>
          <w:bCs w:val="false"/>
          <w:color w:val="000000"/>
          <w:kern w:val="0"/>
          <w:sz w:val="32"/>
          <w:szCs w:val="21"/>
          <w:lang w:val="zh-CN"/>
        </w:rPr>
      </w:pPr>
      <w:r>
        <w:rPr>
          <w:rFonts w:ascii="楷体_GB2312" w:cs="楷体_GB2312" w:eastAsia="楷体_GB2312" w:hAnsi="楷体_GB2312" w:hint="eastAsia"/>
          <w:b/>
          <w:bCs w:val="false"/>
          <w:color w:val="000000"/>
          <w:kern w:val="0"/>
          <w:sz w:val="32"/>
          <w:szCs w:val="21"/>
          <w:lang w:val="zh-CN"/>
        </w:rPr>
        <w:t>第3章 牙列、牙合和颌位</w:t>
      </w:r>
    </w:p>
    <w:p w14:paraId="09720E13">
      <w:pPr>
        <w:pStyle w:val="style0"/>
        <w:spacing w:lineRule="auto" w:line="360"/>
        <w:ind w:firstLine="640" w:firstLineChars="200"/>
        <w:rPr>
          <w:rFonts w:ascii="Times New Roman" w:cs="Times New Roman" w:eastAsia="仿宋" w:hAnsi="Times New Roman"/>
          <w:color w:val="000000"/>
          <w:kern w:val="0"/>
          <w:sz w:val="32"/>
          <w:szCs w:val="32"/>
        </w:rPr>
      </w:pPr>
      <w:r>
        <w:rPr>
          <w:rFonts w:ascii="Times New Roman" w:cs="Times New Roman" w:eastAsia="仿宋" w:hAnsi="Times New Roman" w:hint="eastAsia"/>
          <w:color w:val="000000"/>
          <w:kern w:val="0"/>
          <w:sz w:val="32"/>
          <w:szCs w:val="32"/>
          <w:lang w:val="en-US" w:eastAsia="zh-CN"/>
        </w:rPr>
        <w:t>熟悉牙列的外形、排列的倾斜规律、合面的形态特征；掌握各类牙合的概念、咬合方式、牙合型的分类；</w:t>
      </w:r>
      <w:r>
        <w:rPr>
          <w:rFonts w:ascii="Times New Roman" w:cs="Times New Roman" w:eastAsia="仿宋" w:hAnsi="Times New Roman"/>
          <w:color w:val="000000"/>
          <w:kern w:val="0"/>
          <w:sz w:val="32"/>
          <w:szCs w:val="32"/>
        </w:rPr>
        <w:t>熟悉牙列、</w:t>
      </w:r>
      <w:r>
        <w:rPr>
          <w:rFonts w:ascii="Times New Roman" w:cs="Times New Roman" w:eastAsia="仿宋" w:hAnsi="Times New Roman"/>
          <w:color w:val="000000"/>
          <w:w w:val="50"/>
          <w:kern w:val="0"/>
          <w:sz w:val="32"/>
          <w:szCs w:val="32"/>
        </w:rPr>
        <w:t>牙合</w:t>
      </w:r>
      <w:r>
        <w:rPr>
          <w:rFonts w:ascii="Times New Roman" w:cs="Times New Roman" w:eastAsia="仿宋" w:hAnsi="Times New Roman"/>
          <w:color w:val="000000"/>
          <w:kern w:val="0"/>
          <w:sz w:val="32"/>
          <w:szCs w:val="32"/>
        </w:rPr>
        <w:t>和颌位之间的相互关系及其在口腔功能中的作用；掌握颌位的基本概念、分类和特点</w:t>
      </w:r>
      <w:r>
        <w:rPr>
          <w:rFonts w:ascii="Times New Roman" w:cs="Times New Roman" w:eastAsia="仿宋" w:hAnsi="Times New Roman" w:hint="eastAsia"/>
          <w:color w:val="000000"/>
          <w:kern w:val="0"/>
          <w:sz w:val="32"/>
          <w:szCs w:val="32"/>
          <w:lang w:eastAsia="zh-CN"/>
        </w:rPr>
        <w:t>、相互关系；掌握下颌运动的基本形式、范围和生理意义；熟悉下颌运动的制约因素、异常功能运动的因素及表现。</w:t>
      </w:r>
    </w:p>
    <w:p w14:paraId="108B7F6A">
      <w:pPr>
        <w:pStyle w:val="style0"/>
        <w:autoSpaceDE w:val="false"/>
        <w:autoSpaceDN w:val="false"/>
        <w:adjustRightInd w:val="false"/>
        <w:spacing w:lineRule="atLeast" w:line="440"/>
        <w:ind w:firstLine="643" w:firstLineChars="200"/>
        <w:rPr>
          <w:rFonts w:ascii="楷体_GB2312" w:cs="楷体_GB2312" w:eastAsia="楷体_GB2312" w:hAnsi="楷体_GB2312" w:hint="eastAsia"/>
          <w:b/>
          <w:bCs w:val="false"/>
          <w:color w:val="000000"/>
          <w:kern w:val="0"/>
          <w:sz w:val="32"/>
          <w:szCs w:val="21"/>
          <w:lang w:val="zh-CN"/>
        </w:rPr>
      </w:pPr>
      <w:r>
        <w:rPr>
          <w:rFonts w:ascii="楷体_GB2312" w:cs="楷体_GB2312" w:eastAsia="楷体_GB2312" w:hAnsi="楷体_GB2312" w:hint="eastAsia"/>
          <w:b/>
          <w:bCs w:val="false"/>
          <w:color w:val="000000"/>
          <w:kern w:val="0"/>
          <w:sz w:val="32"/>
          <w:szCs w:val="21"/>
          <w:lang w:val="zh-CN"/>
        </w:rPr>
        <w:t>第4章 口腔颌面颈部系统解剖</w:t>
      </w:r>
    </w:p>
    <w:p w14:paraId="37AAC3B9">
      <w:pPr>
        <w:pStyle w:val="style0"/>
        <w:spacing w:lineRule="auto" w:line="360"/>
        <w:ind w:firstLine="640" w:firstLineChars="200"/>
        <w:rPr>
          <w:rFonts w:ascii="Times New Roman" w:cs="Times New Roman" w:eastAsia="仿宋" w:hAnsi="Times New Roman"/>
          <w:color w:val="000000"/>
          <w:kern w:val="0"/>
          <w:sz w:val="32"/>
          <w:szCs w:val="32"/>
        </w:rPr>
      </w:pPr>
      <w:r>
        <w:rPr>
          <w:rFonts w:ascii="Times New Roman" w:cs="Times New Roman" w:eastAsia="仿宋" w:hAnsi="Times New Roman" w:hint="eastAsia"/>
          <w:color w:val="000000"/>
          <w:kern w:val="0"/>
          <w:sz w:val="32"/>
          <w:szCs w:val="32"/>
        </w:rPr>
        <w:t>掌握上下颌骨的外形、临床解剖结构特点，了解上下颌骨的血供特点、淋巴回流及神经支配；</w:t>
      </w:r>
      <w:r>
        <w:rPr>
          <w:rFonts w:ascii="Times New Roman" w:cs="Times New Roman" w:eastAsia="仿宋" w:hAnsi="Times New Roman" w:hint="eastAsia"/>
          <w:color w:val="000000"/>
          <w:kern w:val="0"/>
          <w:sz w:val="32"/>
          <w:szCs w:val="32"/>
          <w:lang w:val="en-US" w:eastAsia="zh-CN"/>
        </w:rPr>
        <w:t>了解颌面部其他相关骨的位置、形态；</w:t>
      </w:r>
      <w:r>
        <w:rPr>
          <w:rFonts w:ascii="Times New Roman" w:cs="Times New Roman" w:eastAsia="仿宋" w:hAnsi="Times New Roman" w:hint="eastAsia"/>
          <w:color w:val="000000"/>
          <w:kern w:val="0"/>
          <w:sz w:val="32"/>
          <w:szCs w:val="32"/>
        </w:rPr>
        <w:t>掌握颞下颌关节的构成</w:t>
      </w:r>
      <w:r>
        <w:rPr>
          <w:rFonts w:ascii="Times New Roman" w:cs="Times New Roman" w:eastAsia="仿宋" w:hAnsi="Times New Roman" w:hint="eastAsia"/>
          <w:color w:val="000000"/>
          <w:kern w:val="0"/>
          <w:sz w:val="32"/>
          <w:szCs w:val="32"/>
          <w:lang w:val="en-US" w:eastAsia="zh-CN"/>
        </w:rPr>
        <w:t>及运动；</w:t>
      </w:r>
      <w:r>
        <w:rPr>
          <w:rFonts w:ascii="Times New Roman" w:cs="Times New Roman" w:eastAsia="仿宋" w:hAnsi="Times New Roman" w:hint="eastAsia"/>
          <w:color w:val="000000"/>
          <w:kern w:val="0"/>
          <w:sz w:val="32"/>
          <w:szCs w:val="32"/>
        </w:rPr>
        <w:t>了解颞下颌关节血液供应与神经支配</w:t>
      </w:r>
      <w:r>
        <w:rPr>
          <w:rFonts w:ascii="Times New Roman" w:cs="Times New Roman" w:eastAsia="仿宋" w:hAnsi="Times New Roman" w:hint="eastAsia"/>
          <w:color w:val="000000"/>
          <w:kern w:val="0"/>
          <w:sz w:val="32"/>
          <w:szCs w:val="32"/>
          <w:lang w:val="en-US" w:eastAsia="zh-CN"/>
        </w:rPr>
        <w:t>及</w:t>
      </w:r>
      <w:r>
        <w:rPr>
          <w:rFonts w:ascii="Times New Roman" w:cs="Times New Roman" w:eastAsia="仿宋" w:hAnsi="Times New Roman" w:hint="eastAsia"/>
          <w:color w:val="000000"/>
          <w:kern w:val="0"/>
          <w:sz w:val="32"/>
          <w:szCs w:val="32"/>
        </w:rPr>
        <w:t>负重与改建</w:t>
      </w:r>
      <w:r>
        <w:rPr>
          <w:rFonts w:ascii="Times New Roman" w:cs="Times New Roman" w:eastAsia="仿宋" w:hAnsi="Times New Roman" w:hint="eastAsia"/>
          <w:color w:val="000000"/>
          <w:kern w:val="0"/>
          <w:sz w:val="32"/>
          <w:szCs w:val="32"/>
          <w:lang w:eastAsia="zh-CN"/>
        </w:rPr>
        <w:t>；</w:t>
      </w:r>
      <w:r>
        <w:rPr>
          <w:rFonts w:ascii="Times New Roman" w:cs="Times New Roman" w:eastAsia="仿宋" w:hAnsi="Times New Roman" w:hint="eastAsia"/>
          <w:color w:val="000000"/>
          <w:kern w:val="0"/>
          <w:sz w:val="32"/>
          <w:szCs w:val="32"/>
          <w:lang w:val="en-US" w:eastAsia="zh-CN"/>
        </w:rPr>
        <w:t>了解</w:t>
      </w:r>
      <w:r>
        <w:rPr>
          <w:rFonts w:ascii="Times New Roman" w:cs="Times New Roman" w:eastAsia="仿宋" w:hAnsi="Times New Roman"/>
          <w:color w:val="000000"/>
          <w:kern w:val="0"/>
          <w:sz w:val="32"/>
          <w:szCs w:val="32"/>
        </w:rPr>
        <w:t>口腔颌面颈</w:t>
      </w:r>
      <w:r>
        <w:rPr>
          <w:rFonts w:ascii="Times New Roman" w:cs="Times New Roman" w:eastAsia="仿宋" w:hAnsi="Times New Roman" w:hint="eastAsia"/>
          <w:color w:val="000000"/>
          <w:kern w:val="0"/>
          <w:sz w:val="32"/>
          <w:szCs w:val="32"/>
          <w:lang w:val="en-US" w:eastAsia="zh-CN"/>
        </w:rPr>
        <w:t>的</w:t>
      </w:r>
      <w:r>
        <w:rPr>
          <w:rFonts w:ascii="Times New Roman" w:cs="Times New Roman" w:eastAsia="仿宋" w:hAnsi="Times New Roman"/>
          <w:color w:val="000000"/>
          <w:kern w:val="0"/>
          <w:sz w:val="32"/>
          <w:szCs w:val="32"/>
        </w:rPr>
        <w:t>区域划分、层次结构、血管神经分布、</w:t>
      </w:r>
      <w:r>
        <w:rPr>
          <w:rFonts w:ascii="Times New Roman" w:cs="Times New Roman" w:eastAsia="仿宋" w:hAnsi="Times New Roman" w:hint="eastAsia"/>
          <w:color w:val="000000"/>
          <w:kern w:val="0"/>
          <w:sz w:val="32"/>
          <w:szCs w:val="32"/>
          <w:lang w:val="en-US" w:eastAsia="zh-CN"/>
        </w:rPr>
        <w:t>唾液腺和淋巴回流、</w:t>
      </w:r>
      <w:r>
        <w:rPr>
          <w:rFonts w:ascii="Times New Roman" w:cs="Times New Roman" w:eastAsia="仿宋" w:hAnsi="Times New Roman"/>
          <w:color w:val="000000"/>
          <w:kern w:val="0"/>
          <w:sz w:val="32"/>
          <w:szCs w:val="32"/>
        </w:rPr>
        <w:t>肌肉系统和骨骼结构等基本知识，能够运用所学知识分析口腔颌面颈部解结构的特点和相互关系，为临床诊断和治疗提供基础。</w:t>
      </w:r>
    </w:p>
    <w:p w14:paraId="04C574B6">
      <w:pPr>
        <w:pStyle w:val="style0"/>
        <w:autoSpaceDE w:val="false"/>
        <w:autoSpaceDN w:val="false"/>
        <w:adjustRightInd w:val="false"/>
        <w:spacing w:lineRule="atLeast" w:line="440"/>
        <w:ind w:firstLine="643" w:firstLineChars="200"/>
        <w:rPr>
          <w:rFonts w:ascii="楷体_GB2312" w:cs="楷体_GB2312" w:eastAsia="楷体_GB2312" w:hAnsi="楷体_GB2312" w:hint="eastAsia"/>
          <w:b/>
          <w:bCs w:val="false"/>
          <w:color w:val="000000"/>
          <w:kern w:val="0"/>
          <w:sz w:val="32"/>
          <w:szCs w:val="21"/>
          <w:lang w:val="zh-CN"/>
        </w:rPr>
      </w:pPr>
      <w:r>
        <w:rPr>
          <w:rFonts w:ascii="楷体_GB2312" w:cs="楷体_GB2312" w:eastAsia="楷体_GB2312" w:hAnsi="楷体_GB2312" w:hint="eastAsia"/>
          <w:b/>
          <w:bCs w:val="false"/>
          <w:color w:val="000000"/>
          <w:kern w:val="0"/>
          <w:sz w:val="32"/>
          <w:szCs w:val="21"/>
          <w:lang w:val="zh-CN"/>
        </w:rPr>
        <w:t>第5章 口腔颌面颈部局部解剖</w:t>
      </w:r>
    </w:p>
    <w:p w14:paraId="1E2C7474">
      <w:pPr>
        <w:pStyle w:val="style0"/>
        <w:kinsoku w:val="false"/>
        <w:autoSpaceDE w:val="false"/>
        <w:autoSpaceDN w:val="false"/>
        <w:adjustRightInd w:val="false"/>
        <w:snapToGrid w:val="false"/>
        <w:spacing w:lineRule="auto" w:line="360"/>
        <w:ind w:firstLine="640" w:firstLineChars="200"/>
        <w:rPr>
          <w:rFonts w:ascii="Times New Roman" w:cs="Times New Roman" w:eastAsia="仿宋" w:hAnsi="Times New Roman"/>
          <w:color w:val="000000"/>
          <w:sz w:val="32"/>
          <w:szCs w:val="32"/>
        </w:rPr>
      </w:pPr>
      <w:r>
        <w:rPr>
          <w:rFonts w:ascii="Times New Roman" w:cs="Times New Roman" w:eastAsia="仿宋" w:hAnsi="Times New Roman"/>
          <w:color w:val="000000"/>
          <w:sz w:val="32"/>
          <w:szCs w:val="32"/>
        </w:rPr>
        <w:t>掌握口腔</w:t>
      </w:r>
      <w:r>
        <w:rPr>
          <w:rFonts w:ascii="Times New Roman" w:cs="Times New Roman" w:eastAsia="仿宋" w:hAnsi="Times New Roman" w:hint="eastAsia"/>
          <w:color w:val="000000"/>
          <w:sz w:val="32"/>
          <w:szCs w:val="32"/>
          <w:lang w:eastAsia="zh-CN"/>
        </w:rPr>
        <w:t>、</w:t>
      </w:r>
      <w:r>
        <w:rPr>
          <w:rFonts w:ascii="Times New Roman" w:cs="Times New Roman" w:eastAsia="仿宋" w:hAnsi="Times New Roman"/>
          <w:color w:val="000000"/>
          <w:sz w:val="32"/>
          <w:szCs w:val="32"/>
        </w:rPr>
        <w:t>面</w:t>
      </w:r>
      <w:r>
        <w:rPr>
          <w:rFonts w:ascii="Times New Roman" w:cs="Times New Roman" w:eastAsia="仿宋" w:hAnsi="Times New Roman" w:hint="eastAsia"/>
          <w:color w:val="000000"/>
          <w:sz w:val="32"/>
          <w:szCs w:val="32"/>
          <w:lang w:val="en-US" w:eastAsia="zh-CN"/>
        </w:rPr>
        <w:t>部和</w:t>
      </w:r>
      <w:r>
        <w:rPr>
          <w:rFonts w:ascii="Times New Roman" w:cs="Times New Roman" w:eastAsia="仿宋" w:hAnsi="Times New Roman"/>
          <w:color w:val="000000"/>
          <w:sz w:val="32"/>
          <w:szCs w:val="32"/>
        </w:rPr>
        <w:t>颈部</w:t>
      </w:r>
      <w:r>
        <w:rPr>
          <w:rFonts w:ascii="Times New Roman" w:cs="Times New Roman" w:eastAsia="仿宋" w:hAnsi="Times New Roman" w:hint="eastAsia"/>
          <w:color w:val="000000"/>
          <w:sz w:val="32"/>
          <w:szCs w:val="32"/>
          <w:lang w:val="en-US" w:eastAsia="zh-CN"/>
        </w:rPr>
        <w:t>的境界、分部、表面解剖标志和浅层标志；掌握</w:t>
      </w:r>
      <w:r>
        <w:rPr>
          <w:rFonts w:ascii="Times New Roman" w:cs="Times New Roman" w:eastAsia="仿宋" w:hAnsi="Times New Roman"/>
          <w:color w:val="000000"/>
          <w:sz w:val="32"/>
          <w:szCs w:val="32"/>
        </w:rPr>
        <w:t>各器官的</w:t>
      </w:r>
      <w:r>
        <w:rPr>
          <w:rFonts w:ascii="Times New Roman" w:cs="Times New Roman" w:eastAsia="仿宋" w:hAnsi="Times New Roman" w:hint="eastAsia"/>
          <w:color w:val="000000"/>
          <w:sz w:val="32"/>
          <w:szCs w:val="32"/>
          <w:lang w:val="en-US" w:eastAsia="zh-CN"/>
        </w:rPr>
        <w:t>血液供应、淋巴回流、神经支配</w:t>
      </w:r>
      <w:r>
        <w:rPr>
          <w:rFonts w:ascii="Times New Roman" w:cs="Times New Roman" w:eastAsia="仿宋" w:hAnsi="Times New Roman"/>
          <w:color w:val="000000"/>
          <w:sz w:val="32"/>
          <w:szCs w:val="32"/>
        </w:rPr>
        <w:t>和功能特点；熟悉口腔颌面颈部各器官之间的毗邻关系；了解口腔颌面颈部解剖结构在口腔疾病诊断和治疗中的应用。</w:t>
      </w:r>
    </w:p>
    <w:p w14:paraId="52310804">
      <w:pPr>
        <w:pStyle w:val="style0"/>
        <w:autoSpaceDE w:val="false"/>
        <w:autoSpaceDN w:val="false"/>
        <w:adjustRightInd w:val="false"/>
        <w:spacing w:lineRule="atLeast" w:line="440"/>
        <w:ind w:firstLine="643" w:firstLineChars="200"/>
        <w:rPr>
          <w:rFonts w:ascii="楷体_GB2312" w:cs="楷体_GB2312" w:eastAsia="楷体_GB2312" w:hAnsi="楷体_GB2312" w:hint="eastAsia"/>
          <w:b/>
          <w:bCs w:val="false"/>
          <w:color w:val="000000"/>
          <w:kern w:val="0"/>
          <w:sz w:val="32"/>
          <w:szCs w:val="21"/>
          <w:lang w:val="zh-CN"/>
        </w:rPr>
      </w:pPr>
      <w:r>
        <w:rPr>
          <w:rFonts w:ascii="楷体_GB2312" w:cs="楷体_GB2312" w:eastAsia="楷体_GB2312" w:hAnsi="楷体_GB2312" w:hint="eastAsia"/>
          <w:b/>
          <w:bCs w:val="false"/>
          <w:color w:val="000000"/>
          <w:kern w:val="0"/>
          <w:sz w:val="32"/>
          <w:szCs w:val="21"/>
          <w:lang w:val="zh-CN"/>
        </w:rPr>
        <w:t>第6章 口腔生理及功能</w:t>
      </w:r>
    </w:p>
    <w:p w14:paraId="4028EBAE">
      <w:pPr>
        <w:pStyle w:val="style0"/>
        <w:spacing w:lineRule="auto" w:line="360"/>
        <w:ind w:firstLine="640" w:firstLineChars="200"/>
        <w:jc w:val="left"/>
        <w:rPr>
          <w:rFonts w:ascii="Times New Roman" w:cs="Times New Roman" w:eastAsia="仿宋" w:hAnsi="Times New Roman"/>
          <w:color w:val="000000"/>
          <w:sz w:val="32"/>
          <w:szCs w:val="32"/>
        </w:rPr>
      </w:pPr>
      <w:r>
        <w:rPr>
          <w:rFonts w:ascii="Times New Roman" w:cs="Times New Roman" w:eastAsia="仿宋" w:hAnsi="Times New Roman" w:hint="eastAsia"/>
          <w:color w:val="000000"/>
          <w:sz w:val="32"/>
          <w:szCs w:val="32"/>
          <w:lang w:val="en-US" w:eastAsia="zh-CN"/>
        </w:rPr>
        <w:t>掌握牙的生理基本概念、常用名词；掌握牙的咀嚼功能；</w:t>
      </w:r>
      <w:bookmarkStart w:id="1" w:name="_GoBack"/>
      <w:bookmarkEnd w:id="1"/>
      <w:r>
        <w:rPr>
          <w:rFonts w:ascii="Times New Roman" w:cs="Times New Roman" w:eastAsia="仿宋" w:hAnsi="Times New Roman"/>
          <w:color w:val="000000"/>
          <w:sz w:val="32"/>
          <w:szCs w:val="32"/>
        </w:rPr>
        <w:t>熟悉口腔功能障碍的常见原因、诊断方法与治疗方法；</w:t>
      </w:r>
      <w:r>
        <w:rPr>
          <w:rFonts w:ascii="Times New Roman" w:cs="Times New Roman" w:eastAsia="仿宋" w:hAnsi="Times New Roman" w:hint="eastAsia"/>
          <w:color w:val="000000"/>
          <w:sz w:val="32"/>
          <w:szCs w:val="32"/>
          <w:lang w:eastAsia="zh-CN"/>
        </w:rPr>
        <w:t>熟悉口腔其他生理功能</w:t>
      </w:r>
      <w:r>
        <w:rPr>
          <w:rFonts w:ascii="Times New Roman" w:cs="Times New Roman" w:eastAsia="仿宋" w:hAnsi="Times New Roman"/>
          <w:color w:val="000000"/>
          <w:sz w:val="32"/>
          <w:szCs w:val="32"/>
        </w:rPr>
        <w:t>的基本原理与解剖基础。</w:t>
      </w:r>
    </w:p>
    <w:p w14:paraId="7BBE11DB">
      <w:pPr>
        <w:pStyle w:val="style0"/>
        <w:rPr>
          <w:rFonts w:ascii="Times New Roman" w:cs="Times New Roman" w:hAnsi="Times New Roman"/>
        </w:rPr>
      </w:pPr>
    </w:p>
    <w:p w14:paraId="429F8A32">
      <w:pPr>
        <w:pStyle w:val="style0"/>
        <w:rPr>
          <w:rFonts w:ascii="Times New Roman" w:cs="Times New Roman" w:hAnsi="Times New Roman"/>
        </w:rPr>
      </w:pPr>
    </w:p>
    <w:p w14:paraId="23E02164">
      <w:pPr>
        <w:pStyle w:val="style0"/>
        <w:rPr/>
      </w:pPr>
    </w:p>
    <w:p w14:paraId="15C6DCA3">
      <w:pPr>
        <w:pStyle w:val="style0"/>
        <w:rPr/>
      </w:pPr>
    </w:p>
    <w:p w14:paraId="40A268B2">
      <w:pPr>
        <w:pStyle w:val="style94"/>
        <w:shd w:val="clear" w:color="auto" w:fill="ffffff"/>
        <w:spacing w:before="0" w:beforeAutospacing="false" w:after="0" w:afterAutospacing="false"/>
        <w:jc w:val="both"/>
        <w:rPr>
          <w:rFonts w:ascii="微软雅黑" w:eastAsia="微软雅黑" w:hAnsi="微软雅黑"/>
          <w:color w:val="333333"/>
          <w:sz w:val="18"/>
          <w:szCs w:val="18"/>
        </w:rPr>
      </w:pPr>
    </w:p>
    <w:sectPr>
      <w:footerReference w:type="default" r:id="rId2"/>
      <w:pgSz w:w="11906" w:h="16838" w:orient="portrait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0010101"/>
    <w:charset w:val="86"/>
    <w:family w:val="auto"/>
    <w:pitch w:val="default"/>
    <w:sig w:usb0="000002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0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0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0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0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default"/>
    <w:sig w:usb0="E4002EFF" w:usb1="C200247B" w:usb2="00000009" w:usb3="00000000" w:csb0="200001FF" w:csb1="00000000"/>
  </w:font>
  <w:font w:name="微软雅黑">
    <w:altName w:val="微软雅黑"/>
    <w:panose1 w:val="020b0503020000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altName w:val="Arial Unicode MS"/>
    <w:panose1 w:val="02010601030000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仿宋"/>
    <w:panose1 w:val="02010609060000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000010101"/>
    <w:charset w:val="86"/>
    <w:family w:val="auto"/>
    <w:pitch w:val="default"/>
    <w:sig w:usb0="00000000" w:usb1="00000000" w:usb2="00000000" w:usb3="00000000" w:csb0="00040000" w:csb1="00000000"/>
  </w:font>
  <w:font w:name="Arial Unicode MS">
    <w:altName w:val="Arial Unicode MS"/>
    <w:panose1 w:val="020b0604020000020204"/>
    <w:charset w:val="86"/>
    <w:family w:val="auto"/>
    <w:pitch w:val="default"/>
    <w:sig w:usb0="FFFFFFFF" w:usb1="E9FFFFFF" w:usb2="0000003F" w:usb3="00000000" w:csb0="603F01FF" w:csb1="FFFF0000"/>
  </w:font>
  <w:font w:name="楷体">
    <w:altName w:val="楷体"/>
    <w:panose1 w:val="02010609060000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 w14:paraId="344A6519">
    <w:pPr>
      <w:pStyle w:val="style32"/>
      <w:ind w:firstLine="3420" w:firstLineChars="1900"/>
      <w:rPr/>
    </w:pPr>
    <w:r>
      <w:rPr/>
      <mc:AlternateContent>
        <mc:Choice Requires="wps">
          <w:drawing>
            <wp:anchor distT="0" distB="0" distL="0" distR="0" simplePos="false" relativeHeight="2" behindDoc="false" locked="false" layoutInCell="true" allowOverlap="tru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7"/>
              <wp:cNvGraphicFramePr>
                <a:graphicFrameLocks xmlns:a="http://schemas.openxmlformats.org/drawingml/2006/main" noChangeAspect="false" noSelect="false" noResize="false" noGrp="false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0">
                        <a:off x="0" y="0"/>
                        <a:ext cx="1828800" cy="1828800"/>
                      </a:xfrm>
                      <a:prstGeom prst="rect"/>
                      <a:ln>
                        <a:noFill/>
                      </a:ln>
                    </wps:spPr>
                    <wps:txbx id="4097">
                      <w:txbxContent>
                        <w:p w14:paraId="0D3E3F2A">
                          <w:pPr>
                            <w:pStyle w:val="style32"/>
                            <w:rPr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27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3 页</w:t>
                          </w:r>
                        </w:p>
                      </w:txbxContent>
                    </wps:txbx>
                    <wps:bodyPr lIns="0" rIns="0" tIns="0" bIns="0" vert="horz" anchor="t" wrap="none">
                      <a:prstTxWarp prst="textNoShape"/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4097" filled="f" stroked="f" style="position:absolute;margin-left:0.0pt;margin-top:0.0pt;width:144.0pt;height:144.0pt;z-index:2;mso-position-horizontal:center;mso-position-horizontal-relative:margin;mso-position-vertical-relative:text;mso-width-relative:page;mso-height-relative:page;mso-wrap-distance-left:0.0pt;mso-wrap-distance-right:0.0pt;visibility:visible;mso-wrap-style:none;">
              <v:stroke on="f"/>
              <v:fill/>
              <v:textbox inset="0.0pt,0.0pt,0.0pt,0.0pt" style="mso-fit-shape-to-text:true;">
                <w:txbxContent>
                  <w:p w14:paraId="0D3E3F2A">
                    <w:pPr>
                      <w:pStyle w:val="style32"/>
                      <w:rPr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27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3 页</w:t>
                    </w:r>
                  </w:p>
                </w:txbxContent>
              </v:textbox>
            </v:rect>
          </w:pict>
        </mc:Fallback>
      </mc:AlternateContent>
    </w:r>
    <w:r>
      <w:rPr>
        <w:rFonts w:hint="eastAsia"/>
      </w:rPr>
      <w:t xml:space="preserve">     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宋体" w:eastAsia="宋体" w:hAnsi="Calibri"/>
      <w:kern w:val="2"/>
      <w:sz w:val="21"/>
      <w:szCs w:val="22"/>
      <w:lang w:val="en-US" w:bidi="ar-SA" w:eastAsia="zh-CN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90">
    <w:name w:val="Plain Text"/>
    <w:basedOn w:val="style0"/>
    <w:next w:val="style90"/>
    <w:qFormat/>
    <w:uiPriority w:val="0"/>
    <w:pPr/>
    <w:rPr>
      <w:rFonts w:ascii="宋体" w:cs="Courier New" w:hAnsi="Courier New"/>
      <w:szCs w:val="21"/>
    </w:rPr>
  </w:style>
  <w:style w:type="paragraph" w:styleId="style153">
    <w:name w:val="Balloon Text"/>
    <w:basedOn w:val="style0"/>
    <w:next w:val="style153"/>
    <w:link w:val="style4098"/>
    <w:qFormat/>
    <w:uiPriority w:val="0"/>
    <w:pPr/>
    <w:rPr>
      <w:sz w:val="18"/>
      <w:szCs w:val="18"/>
    </w:rPr>
  </w:style>
  <w:style w:type="paragraph" w:styleId="style32">
    <w:name w:val="footer"/>
    <w:basedOn w:val="style0"/>
    <w:next w:val="style32"/>
    <w:qFormat/>
    <w:uiPriority w:val="0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</w:rPr>
  </w:style>
  <w:style w:type="paragraph" w:styleId="style31">
    <w:name w:val="header"/>
    <w:basedOn w:val="style0"/>
    <w:next w:val="style31"/>
    <w:link w:val="style4099"/>
    <w:qFormat/>
    <w:uiPriority w:val="0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paragraph" w:styleId="style19">
    <w:name w:val="toc 1"/>
    <w:basedOn w:val="style0"/>
    <w:next w:val="style0"/>
    <w:qFormat/>
    <w:uiPriority w:val="0"/>
    <w:pPr/>
  </w:style>
  <w:style w:type="paragraph" w:styleId="style101">
    <w:name w:val="HTML Preformatted"/>
    <w:basedOn w:val="style0"/>
    <w:next w:val="style101"/>
    <w:link w:val="style4100"/>
    <w:qFormat/>
    <w:uiPriority w:val="0"/>
    <w:pPr>
      <w:widowControl/>
      <w:tabs>
        <w:tab w:val="left" w:leader="none" w:pos="916"/>
        <w:tab w:val="left" w:leader="none" w:pos="1832"/>
        <w:tab w:val="left" w:leader="none" w:pos="2748"/>
        <w:tab w:val="left" w:leader="none" w:pos="3664"/>
        <w:tab w:val="left" w:leader="none" w:pos="4580"/>
        <w:tab w:val="left" w:leader="none" w:pos="5496"/>
        <w:tab w:val="left" w:leader="none" w:pos="6412"/>
        <w:tab w:val="left" w:leader="none" w:pos="7328"/>
        <w:tab w:val="left" w:leader="none" w:pos="8244"/>
        <w:tab w:val="left" w:leader="none" w:pos="9160"/>
        <w:tab w:val="left" w:leader="none" w:pos="10076"/>
        <w:tab w:val="left" w:leader="none" w:pos="10992"/>
        <w:tab w:val="left" w:leader="none" w:pos="11908"/>
        <w:tab w:val="left" w:leader="none" w:pos="12824"/>
        <w:tab w:val="left" w:leader="none" w:pos="13740"/>
        <w:tab w:val="left" w:leader="none" w:pos="14656"/>
      </w:tabs>
      <w:jc w:val="left"/>
    </w:pPr>
    <w:rPr>
      <w:rFonts w:ascii="宋体" w:cs="宋体" w:eastAsia="宋体" w:hAnsi="宋体"/>
      <w:kern w:val="0"/>
      <w:sz w:val="24"/>
      <w:szCs w:val="24"/>
    </w:rPr>
  </w:style>
  <w:style w:type="paragraph" w:styleId="style94">
    <w:name w:val="Normal (Web)"/>
    <w:basedOn w:val="style0"/>
    <w:next w:val="style94"/>
    <w:qFormat/>
    <w:uiPriority w:val="99"/>
    <w:pPr>
      <w:widowControl/>
      <w:spacing w:before="100" w:beforeAutospacing="true" w:after="100" w:afterAutospacing="true"/>
      <w:jc w:val="left"/>
    </w:pPr>
    <w:rPr>
      <w:rFonts w:ascii="宋体" w:cs="宋体" w:eastAsia="宋体" w:hAnsi="宋体"/>
      <w:kern w:val="0"/>
      <w:sz w:val="24"/>
      <w:szCs w:val="24"/>
    </w:rPr>
  </w:style>
  <w:style w:type="table" w:styleId="style154">
    <w:name w:val="Table Grid"/>
    <w:basedOn w:val="style105"/>
    <w:next w:val="style154"/>
    <w:qFormat/>
    <w:uiPriority w:val="59"/>
    <w:pPr>
      <w:widowControl w:val="false"/>
      <w:jc w:val="both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/>
    </w:tcPr>
  </w:style>
  <w:style w:type="character" w:styleId="style87">
    <w:name w:val="Strong"/>
    <w:basedOn w:val="style65"/>
    <w:next w:val="style87"/>
    <w:qFormat/>
    <w:uiPriority w:val="22"/>
    <w:rPr>
      <w:rFonts w:ascii="Calibri" w:cs="宋体" w:eastAsia="微软雅黑" w:hAnsi="Calibri"/>
      <w:b/>
      <w:bCs/>
      <w:lang w:val="en-US" w:bidi="ar-SA" w:eastAsia="zh-CN"/>
    </w:rPr>
  </w:style>
  <w:style w:type="character" w:styleId="style85">
    <w:name w:val="Hyperlink"/>
    <w:basedOn w:val="style65"/>
    <w:next w:val="style85"/>
    <w:qFormat/>
    <w:uiPriority w:val="99"/>
    <w:rPr>
      <w:rFonts w:ascii="Calibri" w:cs="宋体" w:eastAsia="微软雅黑" w:hAnsi="Calibri"/>
      <w:color w:val="0000ff"/>
      <w:u w:val="single"/>
      <w:lang w:val="en-US" w:bidi="ar-SA" w:eastAsia="zh-CN"/>
    </w:rPr>
  </w:style>
  <w:style w:type="character" w:customStyle="1" w:styleId="style4097">
    <w:name w:val="apple-converted-space"/>
    <w:basedOn w:val="style65"/>
    <w:next w:val="style4097"/>
    <w:qFormat/>
    <w:uiPriority w:val="0"/>
    <w:rPr>
      <w:rFonts w:ascii="Calibri" w:cs="宋体" w:eastAsia="微软雅黑" w:hAnsi="Calibri"/>
      <w:lang w:val="en-US" w:bidi="ar-SA" w:eastAsia="zh-CN"/>
    </w:rPr>
  </w:style>
  <w:style w:type="character" w:customStyle="1" w:styleId="style4098">
    <w:name w:val="批注框文本 字符"/>
    <w:basedOn w:val="style65"/>
    <w:next w:val="style4098"/>
    <w:link w:val="style153"/>
    <w:qFormat/>
    <w:uiPriority w:val="0"/>
    <w:rPr>
      <w:rFonts w:ascii="Calibri" w:cs="宋体" w:eastAsia="微软雅黑" w:hAnsi="Calibri"/>
      <w:sz w:val="18"/>
      <w:szCs w:val="18"/>
      <w:lang w:val="en-US" w:bidi="ar-SA" w:eastAsia="zh-CN"/>
    </w:rPr>
  </w:style>
  <w:style w:type="character" w:customStyle="1" w:styleId="style4099">
    <w:name w:val="页眉 字符"/>
    <w:basedOn w:val="style65"/>
    <w:next w:val="style4099"/>
    <w:link w:val="style31"/>
    <w:qFormat/>
    <w:uiPriority w:val="0"/>
    <w:rPr>
      <w:rFonts w:ascii="Calibri" w:cs="宋体" w:eastAsia="微软雅黑" w:hAnsi="Calibri"/>
      <w:sz w:val="18"/>
      <w:szCs w:val="18"/>
      <w:lang w:val="en-US" w:bidi="ar-SA" w:eastAsia="zh-CN"/>
    </w:rPr>
  </w:style>
  <w:style w:type="character" w:customStyle="1" w:styleId="style4100">
    <w:name w:val="HTML 预设格式 字符"/>
    <w:basedOn w:val="style65"/>
    <w:next w:val="style4100"/>
    <w:link w:val="style101"/>
    <w:qFormat/>
    <w:uiPriority w:val="99"/>
    <w:rPr>
      <w:rFonts w:ascii="宋体" w:cs="宋体" w:eastAsia="宋体" w:hAnsi="宋体"/>
      <w:kern w:val="0"/>
      <w:sz w:val="24"/>
      <w:szCs w:val="24"/>
      <w:lang w:val="en-US" w:bidi="ar-SA" w:eastAsia="zh-C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footer" Target="footer1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Words>900</Words>
  <Pages>3</Pages>
  <Characters>905</Characters>
  <Application>WPS Office</Application>
  <DocSecurity>0</DocSecurity>
  <Paragraphs>29</Paragraphs>
  <ScaleCrop>false</ScaleCrop>
  <LinksUpToDate>false</LinksUpToDate>
  <CharactersWithSpaces>920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2020-06-18T08:06:00Z</dcterms:created>
  <dc:creator>Administrator</dc:creator>
  <lastModifiedBy>PKB110</lastModifiedBy>
  <lastPrinted>2020-06-19T14:19:00Z</lastPrinted>
  <dcterms:modified xsi:type="dcterms:W3CDTF">2026-01-23T11:42:13Z</dcterms:modified>
  <revision>19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4138D097FDC34A3A873E815774812996_13</vt:lpwstr>
  </property>
  <property fmtid="{D5CDD505-2E9C-101B-9397-08002B2CF9AE}" pid="4" name="KSOTemplateDocerSaveRecord">
    <vt:lpwstr>eyJoZGlkIjoiYTc2ZGZiNzZiNDVlOGViOWVmM2JhOTY0NGJkNjUyYzgiLCJ1c2VySWQiOiIzNTM2MDAyMDMifQ==</vt:lpwstr>
  </property>
</Properties>
</file>