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1.庆祝中华人民共和国成立74周年招待会在京举行 习近平发表重要讲话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《求是》杂志发表习近平总书记重要文章 《扎实推动教育强国建设》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习近平致信全国优秀教师代表强调 大力弘扬教育家精神 为强国建设民族复兴伟业作出新的更大贡献 向全国广大教师和教育工作者致以节日问候和诚挚祝福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习近平对宣传思想文化工作作出重要指示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0</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习近平在黑龙江考察时强调 牢牢把握在国家发展大局中的战略定位 奋力开创黑龙江高质量发展新局面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习近平在浙江考察时强调 始终干在实处走在前列勇立潮头 奋力谱写中国式现代化浙江新篇章 返京途中在山东枣庄考察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习近平向2023北京文化论坛致贺信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8.</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中共中央政治局召开会议 审议《干部教育培训工作条例》《全国干部教育培训规划（2023—2027年）》 中共中央总书记习近平主持会议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习近平给东北大学全体师生回信强调 着眼国家战略需求 培养高素质人才 为推动东北全面振兴推进中国式现代化作出新的更大贡献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习近平给中国人民公安大学在读英烈子女的回信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7</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11.</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习近平致信祝贺国防科技大学建校70周年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最高人民法院 最高人民检察院 教育部 关于落实从业禁止制度的意见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0</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专家解读｜敏感个人信息保护：我国《个人信息保护法》的重要内容</w:t>
      </w:r>
      <w:r>
        <w:rPr>
          <w:rFonts w:hint="eastAsia" w:ascii="仿宋_GB2312" w:hAnsi="仿宋_GB2312" w:eastAsia="仿宋_GB2312" w:cs="仿宋_GB2312"/>
          <w:sz w:val="28"/>
          <w:szCs w:val="28"/>
        </w:rPr>
        <w:tab/>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33</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仿宋_GB2312" w:hAnsi="仿宋_GB2312" w:eastAsia="仿宋_GB2312" w:cs="仿宋_GB2312"/>
          <w:bCs/>
          <w:color w:val="000000"/>
          <w:sz w:val="28"/>
          <w:szCs w:val="28"/>
          <w:highlight w:val="none"/>
        </w:rPr>
        <w:fldChar w:fldCharType="end"/>
      </w:r>
      <w:r>
        <w:rPr>
          <w:rFonts w:hint="eastAsia" w:ascii="黑体" w:hAnsi="黑体" w:eastAsia="黑体" w:cs="黑体"/>
          <w:color w:val="000000"/>
          <w:sz w:val="28"/>
          <w:szCs w:val="28"/>
          <w:highlight w:val="none"/>
          <w:lang w:val="en-US" w:eastAsia="zh-CN" w:bidi="ar-SA"/>
        </w:rPr>
        <w:t>【资料一】来源：央视网2023年9月28日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庆祝中华人民共和国成立74周年招待会在京举行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习近平发表重要讲话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庆祝中华人民共和国成立74周年招待会28日晚在人民大会堂举行。中共中央总书记、国家主席、中央军委主席习近平出席招待会并发表重要讲话。他强调，新征程上，我们的前途一片光明。团结就是力量，信心赛过黄金。我们要坚定信心，振奋精神，团结奋斗，继续爬坡过坎、攻坚克难，坚定不移朝着强国建设、民族复兴的宏伟目标奋勇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李强主持招待会，赵乐际、王沪宁、蔡奇、丁薛祥、李希、韩正出席招待会。约800名中外人士欢聚一堂，共庆中华人民共和国华诞。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人民大会堂宴会厅华灯璀璨、鲜花绽放，洋溢着喜庆热烈的节日氛围。主席台上方高悬着庄严的国徽，“1949－2023”大字年号在鲜艳的红旗映衬下格外醒目。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17时30分许，在欢快的《迎宾曲》中，习近平等党和国家领导人步入宴会厅，向大家挥手致意，全场响起热烈掌声。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招待会开始。全场起立，高唱国歌，雄壮的《义勇军进行曲》在大厅回荡。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发表重要讲话。他首先代表党中央、国务院，向全国各族人民，向中国人民解放军指战员和武警部队官兵，向各民主党派和无党派人士，致以崇高的敬意；向香港特别行政区同胞、澳门特别行政区同胞、台湾同胞和海外侨胞，致以诚挚的问候；向关心和支持中国现代化建设的友好国家和国际友人，致以衷心的感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讲话中指出，新中国成立74年来，我国由一穷二白到全面小康，已踏上以中国式现代化全面推进强国建设、民族复兴的新征程，这是中国共产党团结带领全国各族人民艰苦奋斗取得的巨大成就。今年是贯彻落实党的二十大精神开局之年。我们统筹新冠疫情防控和经济社会发展，统筹发展和安全，积极推动经济持续复苏，有序推进党和国家机构改革，有效应对局部地区洪涝灾害，积极推进对外开放、科技创新、绿色发展，坚定维护国家主权、安全、发展利益，经济总体回升向好，高质量发展扎实推进，粮食生产有望丰收，人民生活继续改善，社会大局保持稳定，我国体育健儿在成都大运会、杭州亚运会上勇创佳绩。这些成绩来之不易、令人振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当前世界百年变局加速演进，国际环境发生深刻变化，我们前进道路上还面临很多风险挑战。我们要围绕推动高质量发展，完整、准确、全面贯彻新发展理念，加快构建新发展格局，着力加大宏观调控，着力扩大国内有效需求，着力激发经营主体活力，不断推动经济运行持续好转、内生动力持续增强、社会预期持续改善，切实防范化解重大风险，努力实现全年经济社会发展目标。我们要围绕推进高水平对外开放，继续全面深化改革，稳步扩大规则、规制、管理、标准等制度型开放，推动共建“一带一路”高质量发展，畅通国内国际双循环，使经济发展更有韧性、更有活力。我们要围绕满足人民日益增长的美好生活需要，加大民生保障力度，着力扩大就业，解决好人民群众急难愁盼问题，加强对困难群体兜底帮扶，巩固拓展脱贫攻坚成果，全面推进乡村振兴，扎实推进共同富裕，不断增强人民群众获得感、幸福感、安全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我们要继续全面准确、坚定不移贯彻“一国两制”方针，落实“爱国者治港”、“爱国者治澳”原则，支持香港、澳门发展经济、改善民生，发挥自身特点和优势，积极参与粤港澳大湾区建设，保持香港、澳门长期繁荣稳定。我们要坚持一个中国原则和“九二共识”，推动两岸关系和平发展，深化两岸融合发展，维护中华民族根本利益，增进两岸同胞福祉。实现祖国完全统一是民心所向、时代潮流、历史必然，是任何势力都阻挡不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我们要坚持和平发展，坚定奉行互利共赢的开放战略，维护国际公平正义，践行真正的多边主义，推动落实全球发展倡议、全球安全倡议、全球文明倡议，推动构建人类命运共同体，同各国人民携手努力，应对各种全球性挑战，共创人类的美好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在欢快的乐曲声中，中外宾朋举杯共贺中华人民共和国成立74周年，祝福中国繁荣昌盛、人民幸福安康，中国人民和世界各国人民友谊长存。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出席招待会的还有：在京中共中央政治局委员、中央书记处书记、全国人大常委会副委员长、国务院副总理、国务委员、国家监察委员会主任、最高人民法院院长、最高人民检察院检察长、全国政协副主席和从领导职务上退下来的同志，以及中央军委委员、曾担任中央军委委员的同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党政军群有关部门和北京市负责人，各民主党派中央、全国工商联负责人和无党派人士代表，在京的功勋荣誉获得者代表，全国劳动模范和先进人物代表，成都大运会、杭州亚运会亚残运会中国体育代表团代表，为民族地区稳定、发展、团结作出重要贡献的少数民族代表人士，在京的部分香港特别行政区人士、澳门特别行政区人士、台湾同胞和华侨、华人代表，各国驻华使节、各国际组织驻华代表、部分外国专家等也出席了招待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【资料二】来源：新华网2023年9月15日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《求是》杂志发表习近平总书记重要文章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《扎实推动教育强国建设》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《求是》杂志将发表中共中央总书记、国家主席、中央军委主席习近平的重要文章《扎实推动教育强国建设》。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这充分证明，中国特色社会主义教育发展道路是完全正确的。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指出，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第二，加快建设高质量教育体系。要坚持把高质量发展作为各级各类教育的生命线，加快建设高质量教育体系，以教育高质量发展赋能经济社会可持续发展。第三，全面提升教育服务高质量发展的能力。要把服务高质量发展作为建设教育强国的重要任务。建设教育强国、科技强国、人才强国具有内在一致性和相互支撑性，要把三者有机结合起来、一体统筹推进，形成推动高质量发展的倍增效应。第四，在深化改革创新中激发教育发展活力。从教育大国到教育强国是一个系统性跃升和质变，必须以改革创新为动力。第五，增强我国教育的国际影响力。要完善教育对外开放战略策略，统筹做好“引进来”和“走出去”两篇大文章，有效利用世界一流教育资源和创新要素，使我国成为具有强大影响力的世界重要教育中心。第六，培养高素质教师队伍。要把加强教师队伍建设作为建设教育强国最重要的基础工作来抓，健全中国特色教师教育体系，大力培养造就一支师德高尚、业务精湛、结构合理、充满活力的高素质专业化教师队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建设教育强国是全党全社会的共同任务。要坚持和加强党对教育工作的全面领导，不断完善党委统一领导、党政齐抓共管、部门各负其责的教育领导体制。要坚定信心、久久为功，为早日实现教育强国目标而共同努力。</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【资料三】来源：央视网2023年9月9日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习近平致信全国优秀教师代表强调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大力弘扬教育家精神 为强国建设民族复兴伟业作出新的更大贡献 向全国广大教师和教育工作者致以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节日问候和诚挚祝福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央视网消息（新闻联播）：全国优秀教师代表座谈会9月9日在京召开。中共中央总书记、国家主席、中央军委主席习近平致信与会教师代表，在第三十九个教师节到来之际，代表党中央，向他们和全国广大教师及教育工作者致以节日的问候和诚挚的祝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国务院总理李强作出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作出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中共中央政治局常委、国务院副总理丁薛祥出席会议，传达习近平致信和李强批示并讲话。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丁薛祥在讲话中表示，习近平总书记作出重要指示，李强总理作出批示，充分体现了党中央和国务院对广大教师的关心和重视。习近平总书记的重要指示，充分肯定广大教师为国家发展、民族振兴作出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诚报国的理想信念，全面落实立德树人根本任务；陶冶言为士则、行为世范的道德情操，努力做“经师”和“人师”相统一的“大先生”；涵养启智润心、因材施教的育人智慧，让每个学生都有人生出彩的机会；秉持勤学笃行、求是创新的躬耕态度，成为终身学习的践行者；勤修乐教爱生、甘于奉献的仁爱之心，用大爱书写教育人生；树立胸怀天下、以文化人的弘道追求，弘扬全人类共同价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人民大学荣誉一级教授高铭暄、北京师范大学资深教授顾明远、浙江省杭州第二中学校长蔡小雄、清华大学教授贺克斌、深圳信息职业技术学院副校长许志良、新疆维吾尔自治区喀什地区巴楚县童梦幼儿园园长艾米拉古丽·阿不都、江西省南昌市启音学校校长张俐、西安交通大学马克思主义学院院长燕连福先后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“人民教育家”国家荣誉称号获得者、“时代楷模”中的教师代表、全国教书育人楷模、全国最美教师等全国优秀教师代表，中央和国家机关有关部门、教育部直属师范大学负责同志等参加会议</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【资料四】来源：新华网2023年10月8日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习近平对宣传思想文化工作作出重要指示强调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坚定文化自信秉持开放包容坚持守正创新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蔡奇出席全国宣传思想文化工作会议并讲话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全国宣传思想文化工作会议10月7日至8日在京召开。会上传达了习近平重要指示。中共中央政治局常委、中央书记处书记蔡奇出席会议并讲话。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会议指出，习近平总书记的重要指示高屋建瓴、精辟深邃，具有很强的政治性、思想性、指导性，为进一步做好宣传思想文化工作指明了方向，必须深入学习领会、坚决贯彻落实。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中共中央政治局委员、中央宣传部部长李书磊作工作布置。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中央网信办、人民日报社、中央广播电视总台、国务院国资委、北京市委宣传部、四川省委宣传部负责同志作交流发言。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铁凝、谌贻琴出席会议。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【资料五】来源：央视网2023年9月8日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习近平在黑龙江考察时强调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牢牢把握在国家发展大局中的战略定位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奋力开创黑龙江高质量发展新局面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央视网消息（新闻联播）：中共中央总书记、国家主席、中央军委主席习近平近日在黑龙江考察时强调，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9月6日至8日，习近平在黑龙江省委书记许勤和省长梁惠玲陪同下，来到大兴安岭、哈尔滨等地，深入林场、乡村、高校等进行调研，前往灾后恢复重建现场看望慰问受灾群众。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6日下午，习近平来到大兴安岭地区漠河市，考察漠河林场自然林区，察看自然林生长态势和林下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随后，习近平乘车来到我国大陆最北端的边境临江村落北极村，仔细了解当地结合地域优势发展特色旅游、将生态优势转化成发展优势等情况。习近平强调，森林是集水库、粮库、钱库、碳库于一身的大宝库。要树立增绿就是增优势、护林就是护财富的理念，在保护的前提下让老百姓通过发展林下经济增加收入。在村民史瑞娟家的民宿小院，习近平向乡亲们了解当地发展乡村特色产业、助推兴边富民乡村振兴等情况。他指出，北极村的发展和群众的生活状况好，看了很高兴。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十分牵挂洪涝灾害地区灾后恢复重建工作和受灾群众的生活保障问题。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看到总书记来了，当地村民和施工人员纷纷围拢过来，向总书记问好。习近平亲切地对大家说，党和政府十分关心灾区群众，始终同大家风雨同舟、携手同行，希望乡亲们在党组织领导下齐心协力、共克时艰，努力建设美好家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日上午，习近平还来到哈尔滨工程大学，了解学校发展历程和为我国国防科技事业作出的贡献，察看教学科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8日上午，习近平听取了黑龙江省委和省政府工作汇报，对黑龙江各项工作取得的成绩给予肯定。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李干杰、何立峰及中央和国家机关有关部门负责同志陪同考察，主题教育中央第四巡回指导组负责同志参加汇报会。</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【资料六】来源：央视网2023年9月25日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习近平在浙江考察时强调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始终干在实处走在前列勇立潮头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奋力谱写中国式现代化浙江新篇章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返京途中在山东枣庄考察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央视网消息（新闻联播）：中共中央总书记、国家主席、中央军委主席习近平近日在浙江考察时强调，要完整准确全面贯彻新发展理念，围绕构建新发展格局、推动高质量发展，聚焦建设共同富裕示范区、打造新时代全面展示中国特色社会主义制度优越性的重要窗口，坚持一张蓝图绘到底，持续推动“八八战略”走深走实，始终干在实处、走在前列、勇立潮头，奋力谱写中国式现代化浙江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9月20日至21日，习近平在浙江省委书记易炼红和省长王浩陪同下，先后来到金华、绍兴等地，深入农村、商贸市场、陈列馆、文化园区等进行调研。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20日上午，习近平来到金华市义乌市后宅街道李祖村考察调研。近年来，李祖村人居环境大为改善，各类创业主体纷纷进驻，乡村旅游十分红火，被评为全国文明村。习近平先后在村党群服务中心、“共富市集”、扎染商铺等场所了解李祖村发展变化情况。得知李祖村年人均收入达到5.2万元，习近平十分高兴。他说，李祖村扎实推进共同富裕，是浙江“千万工程”显著成效的一个缩影，要再接再厉，在推动乡村振兴上取得更大成绩。乡村振兴为年轻人提供了展现才华的用武之地，希望更多的年轻人为乡村振兴发挥积极作用。离开村子时，当地群众簇拥到总书记身旁，热情欢送总书记。习近平对大家说，乡村振兴潜力无限、大有可为，乡亲们要努力奋斗，一起奔向共同富裕的美好明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随后，习近平来到义乌国际商贸城考察。他通过电子屏幕实时了解商贸城运营及“义新欧”班列运行情况，并走进市场同商户、小企业主代表亲切交流，详细询问市场行情。他强调，义乌小商品闯出了大市场、做成了大产业，走到这一步很了不起，每个人都是参与者、建设者、贡献者。商贸城要再创新辉煌，为拓展国内国际市场、畅通国内国际双循环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今年是毛泽东同志批示学习推广“枫桥经验”60周年。20日下午，习近平来到“枫桥经验”发源地诸暨市枫桥镇，参观枫桥经验陈列馆，了解新时代“枫桥经验”的生动实践。习近平指出，要坚持好、发展好新时代“枫桥经验”，坚持党的群众路线，正确处理人民内部矛盾，紧紧依靠人民群众，把问题解决在基层、化解在萌芽状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随后，习近平乘车来到位于绍兴的浙东运河文化园考察。他步行察看古运河河道和周边历史文化遗存，详细了解浙东运河发展演变史和当地合理利用水资源、推进大运河保护等情况。习近平强调，大运河是世界上最长的人工运河，是十分宝贵的文化遗产。大运河文化是中国优秀传统文化的重要组成部分，要在保护、传承、利用上下功夫，让古老大运河焕发时代新风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21日下午，习近平听取了浙江省委和省政府工作汇报，对浙江各项工作取得的成绩给予肯定，对浙江提出了新要求。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浙江要在以科技创新塑造发展新优势上走在前列。要把增强科技创新能力摆到更加突出的位置，整合科技创新力量和优势资源，在科技前沿领域加快突破。强化企业科技创新主体地位，推动创新链产业链资金链人才链深度融合，加快科技成果落地转化。把实体经济作为构建现代化产业体系的根基，引导和支持传统产业加快应用先进适用技术，推动制造业高端化、智能化、绿色化发展。深化国家数字经济创新发展试验区建设，打造一批具有国际竞争力的战略性新兴产业集群和数字产业集群。加强科技基础能力建设，深化科技体制改革，打造科创高地。从全球视野布局产业链供应链建设，不断提升产业链供应链韧性和安全水平。坚定不移推动发展方式绿色转型，建立完善绿色低碳循环发展的经济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强调，浙江要在推进共同富裕中先行示范。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加强平安浙江、法治浙江建设，在推进基层治理体系和治理能力现代化上创造更多经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浙江要在深化改革、扩大开放上续写新篇。要以重点领域改革为牵引，全面推进各领域体制机制创新。以服务全国、放眼全球的视野来谋划改革，稳步扩大规则、规制、管理、标准等制度型开放。发挥各种开放平台的功能作用，创新利用外资、做大外贸的方法和渠道。主动适应国际经贸规则重构走向，在服务业开放、数字化发展、环境保护等方面先行先试。坚持“两个毫不动摇”、“三个没有变”，鼓励和支持民营企业积极参与全球范围产业分工和资源配置，提升核心竞争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强调，浙江要在建设中华民族现代文明上积极探索。要更好担负起新时代新的文化使命，赓续历史文脉，加强文化遗产保护，推动优秀传统文化创造性转化、创新性发展。坚守中华文化立场，积极发展反映时代要求、具有时代特色的新文化，发展中华文明的现代形态。弘扬伟大建党精神，广泛培育和践行社会主义核心价值观，发展社会主义先进文化。繁荣发展文化事业和文化产业，持续推进城乡公共文化服务标准化、均等化，加强公民道德建设，推进书香社会建设。运用杭州亚运会亚残运会、世界互联网大会等窗口加强文化交流传播，不断提升中国文化感染力和中华文明影响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要坚持和加强党的全面领导、加强和改进党的建设。树立正确政绩观，坚持立足实际、科学决策，坚持着眼长远、打牢基础，坚持干在实处、务求实效，防止形式主义、官僚主义。加强干部教育培训和实践锻炼，健全干部担当作为激励保护机制，激发干部干事创业活力，构建亲清统一的新型政商关系。各级党组织要加强对第二批主题教育的组织领导和工作指导，把握不同层级、不同领域、不同对象的特点，结合实际，分类指导，上下联动抓整改，让群众看到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9月24日下午，在返京途中，习近平在山东省委书记林武和省长周乃翔陪同下来到枣庄市考察。枣庄是我国石榴集中连片种植面积最大、品种最多、产业链最完整的地区之一。习近平来到位于峄城区的冠世榴园石榴种质资源库，察看石榴树种，了解当地石榴种植历史、种质资源收集保存和产业发展情况，并来到石榴种植园中向老乡们询问今年石榴种植、收获和收入情况。得知当地大力发展石榴深加工和石榴盆栽培育有力带动了农民增收，习近平很高兴。他指出，人们生活水平在提高，优质特产市场需求在增长，石榴产业有发展潜力。要做好品牌、提升品质，延长产业链，增强产业市场竞争力和综合效益，带动更多乡亲共同致富。祝乡亲们生活像石榴果一样红红火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李干杰、何立峰、王小洪及中央和国家机关有关部门负责同志陪同分别参加上述有关活动，主题教育中央第五巡回指导组负责同志参加汇报会</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【资料七】来源：人民网2023年9月15日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习近平向2023北京文化论坛致贺信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9月14日，国家主席习近平向2023北京文化论坛致贺信。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2023北京文化论坛以“传承优秀文化  促进交流合作”为年度主题，由中宣部和北京市委、北京市人民政府共同主办，当日在北京开幕</w:t>
      </w:r>
      <w:r>
        <w:rPr>
          <w:rFonts w:hint="default"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【资料八】来源：央视网2023年8月31日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中共中央政治局召开会议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审议《干部教育培训工作条例》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《全国干部教育培训规划（2023—2027年）》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央视网消息（新闻联播）：中共中央政治局8月31日召开会议，审议《干部教育培训工作条例》、《全国干部教育培训规划（2023—2027年）》。中共中央总书记习近平主持会议。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干部教育培训是建设高素质干部队伍的先导性、基础性、战略性工程，在推进中国特色社会主义伟大事业和党的建设新的伟大工程中具有不可替代的重要地位和作用。要全面贯彻习近平新时代中国特色社会主义思想，认真落实新时代党的建设总要求和新时代党的组织路线，深刻领悟“两个确立”的决定性意义，增强“四个意识”、坚定“四个自信”、做到“两个维护”，以坚定理想信念宗旨为根本，以全面增强执政本领为重点，培养造就政治过硬、适应新时代要求、具备领导社会主义现代化建设能力的高素质干部队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要把深入学习贯彻习近平新时代中国特色社会主义思想作为主题主线，坚持不懈用党的创新理论凝心铸魂、强基固本。要坚持把政治训练贯穿干部成长全周期，教育引导干部树立正确的权力观、政绩观、事业观，提高干部政治判断力、政治领悟力、政治执行力。要推动干部教育培训供给与需求精准匹配，更好满足组织需求、岗位需求、干部需求，不断优化教育培训方式方法，进一步增强教育培训的系统性、针对性、有效性。要围绕党中央重大决策部署，结合国家重大战略需求，分领域分专题学习培训，提升干部推动高质量发展本领、服务群众本领、防范化解风险本领。要扎实做好干部教育培训的基础保障，发挥好党校（行政学院）干部教育培训主渠道主阵地作用，加强政治把关，持续下大气力抓好师资队伍建设。要大力弘扬理论联系实际的马克思主义学风，力戒形式主义，勤俭规范办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【资料九】来源：新华网2023年9月16日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习近平给东北大学全体师生回信强调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着眼国家战略需求培养高素质人才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为推动东北全面振兴推进中国式现代化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中共中央总书记、国家主席、中央军委主席习近平9月15日给东北大学全体师生回信，在东北大学建校100周年之际，向全校师生员工、广大校友致以热烈的祝贺和诚挚的问候。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习近平在回信中说，东北大学自成立以来，始终以育人兴邦为使命，形成了鲜明办学特色，培养了大批优秀人才，为国家、为民族作出了积极贡献。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东北大学创办于1923年。新中国成立以来，该校在人才培养、科技创新等方面发挥积极作用，为国家经济建设和东北振兴作出了重要贡献。近日，东北大学全体师生给习近平总书记写信，汇报学校百年办学实践，表示将抓住新时代东北全面振兴提供的重要机遇，为建设国家、报效桑梓积极贡献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【资料十】来源：光明日报2023年9月30日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习近平给中国人民公安大学在读英烈子女的回信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中国人民公安大学在读英烈子女：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你们好！来信收到了，得知你们怀着对党的感恩之心，立志扛起父辈的旗帜，为守护平安中国贡献青春力量，我很欣慰。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维护国家安全和社会稳定，守护人民的幸福和安宁，是人民警察的神圣职责。你们的父辈勇于担当作为，甘于牺牲奉献，他们的精神永远值得铭记和发扬。希望你们以英雄的父辈为榜样，坚定理想信念，刻苦学习训练，努力练就报国为民的过硬本领，矢志不渝做党和人民的忠诚卫士，为建设更高水平的平安中国不懈努力，为推进强国建设、民族复兴伟业积极贡献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中秋节、国庆节就要到了，请转达我对你们家人的问候，祝你们学业有成、实现梦想！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w:t>
      </w:r>
      <w:r>
        <w:rPr>
          <w:rFonts w:hint="eastAsia" w:ascii="仿宋_GB2312" w:hAnsi="仿宋_GB2312" w:cs="仿宋_GB2312"/>
          <w:color w:val="00000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2023年9月28日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【资料十一】来源：央视网2023年9月1日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习近平致信祝贺国防科技大学建校70周年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央视网消息（新闻联播）：中共中央总书记、国家主席、中央军委主席习近平9月1日致信祝贺国防科技大学建校70周年，向全校师生员工和广大校友致以热烈的祝贺。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贺信中指出，70年来，国防科技大学坚决贯彻党中央和中央军委决策指示，传承和发扬“哈军工”光荣传统，培养了一大批优秀人才，攻克了一大批尖端科技，取得了一大批重大武器装备研发成果，为国防和军队建设作出了重要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希望国防科技大学以建校70周年为新的起点，深入贯彻新时代强军思想，全面落实新时代军事教育方针，坚持立德树人、为战育人，坚持面向世界军事和科技前沿、面向国防和军队现代化，勇担时代重任，锐意开拓进取，大力培养高素质专业化新型军事人才，加快国防科技自主创新步伐，努力在实施科技强军战略、人才强军战略中发挥重要作用，为实现建军一百年奋斗目标、开创国防和军队现代化新局面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庆祝国防科技大学建校70周年大会1日上午在长沙举行。中共中央政治局委员、中央军委副主席张又侠在会上宣读了习近平的贺信。他指出，要认真学习贯彻习主席重要指示精神，在新时代新征程上坚守初心、接续奋斗，把强化政治引领落实到教学科研全部实践，聚焦备战打仗创新人才培养模式，进一步提高办学质量和科技创新能力，努力建设世界一流高等教育院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国防科技大学由1953年创办于哈尔滨的军事工程学院发展而来，是中央军委直属的综合性研究型高等教育院校。建校70年来，该校先后培养输送各类人才20余万名，在超级计算、卫星导航等前沿领域取得不少突破性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【资料十二】来源：教育部官网2022年11月10日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最高人民法院 最高人民检察院 教育部印发《关于落实从业禁止制度的意见》的通知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各省、自治区、直辖市高级人民法院、人民检察院、教育厅（教委），解放军军事法院、军事检察院，新疆维吾尔自治区高级人民法院生产建设兵团分院、新疆生产建设兵团人民检察院、教育局：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最高人民法院 最高人民检察院 教育部</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 xml:space="preserve">                             2022年11月10日</w:t>
      </w:r>
      <w:r>
        <w:rPr>
          <w:rFonts w:hint="eastAsia" w:ascii="仿宋_GB2312" w:hAnsi="仿宋_GB2312" w:cs="仿宋_GB2312"/>
          <w:color w:val="00000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最高人民法院 最高人民检察院 教育部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关于落实从业禁止制度的意见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《未成年人保护法》、《教师法》属于前款规定的法律，《教师资格条例》属于前款规定的行政法规。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二、依照《未成年人保护法》第六十二条的规定，实施性侵害、虐待、拐卖、暴力伤害等违法犯罪的人员，禁止从事密切接触未成年人的工作。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依照《教师法》第十四条、《教师资格条例》第十八条规定，受到剥夺政治权利或者故意犯罪受到有期徒刑以上刑罚的，不能取得教师资格；已经取得教师资格的，丧失教师资格，且不能重新取得教师资格。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三、教职员工实施性侵害、虐待、拐卖、暴力伤害等犯罪的，人民法院应当依照《未成年人保护法》第六十二条的规定，判决禁止其从事密切接触未成年人的工作。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四、对有必要禁止教职员工从事相关职业或者适用禁止令的，人民检察院在提起公诉时，应当提出相应建议。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五、教职员工犯罪的刑事案件，判决生效后，人民法院应当在三十日内将裁判文书送达被告人单位所在地的教育行政部门；必要时，教育行政部门应当将裁判文书转送有关主管部门。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因涉及未成年人隐私等原因，不宜送达裁判文书的，可以送达载明被告人的自然情况、罪名及刑期的相关证明材料。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六、教职员工犯罪，人民法院作出的判决生效后，所在单位、教育行政部门或者有关主管部门可以依照《未成年人保护法》、《教师法》、《教师资格条例》等法律法规给予相应处理、处分和处罚。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符合丧失教师资格或者撤销教师资格情形的，教育行政部门应当及时收缴其教师资格证书。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七、人民检察院应当对从业禁止和禁止令执行落实情况进行监督。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八、人民法院、人民检察院发现有关单位未履行犯罪记录查询制度、从业禁止制度的，应当向该单位提出建议。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九、本意见所称教职员工，是指在学校、幼儿园等教育机构工作的教师、教育教学辅助人员、行政人员、勤杂人员、安保人员，以及校外培训机构的相关工作人员。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学校、幼儿园等教育机构、校外培训机构的举办者、实际控制人犯罪，参照本意见执行。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十、本意见自2022年11月15日起施行</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【资料十三】来源：中国网信网2021年9月8日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专家解读｜敏感个人信息保护：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我国《个人信息保护法》的重要内容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脸识别在新冠肺炎疫情防控中提供了高效的手段，同时也引发了人们对收集和处理人脸信息等生物识别信息边界的关注。我国《个人信息保护法》要求，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由于敏感个人信息与自然人的人格尊严等基本权利、重大人身利益和财产利益具有极为密切的联系，对此类个人信息的处理会对自然人的基本权利和人身财产安全产生重大风险，我国《个人信息保护法》借鉴了欧盟、美国等法域的立法经验并结合我国实际，对敏感个人信息的处理进行了专门规定。敏感个人信息的保护是我国《个人信息保护法》的重要内容之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首先，《个人信息保护法》对敏感个人信息进行了定义和列举。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规定将敏感个人信息定义为一旦泄露或者非法使用，容易导致自然人的人格尊严受到侵害或者人身、财产安全受到危害的个人信息，同时列举了敏感个人信息的种类，包括生物识别、宗教信仰、特定身份、医疗健康、金融账户、行踪轨迹等信息，以及不满十四周岁未成年人的个人信息。《个人信息保护法》将不满十四周岁未成年人的个人信息列为敏感个人信息，强化了对未成年人个人信息权益的保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敏感个人信息和非敏感个人信息是我国《个人信息保护法》从规范个人信息处理行为的角度对个人信息进行的一种重要分类，有针对性地提高处理者在处理敏感个人信息时的法定义务，更加充分地保护个人信息权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国《个人信息保护法》在列举敏感个人信息种类中的“等”字，应采“等外”之意，表示列举未尽。纵使不在法律明文列举之列，因其在特定场景所具有的高度敏感性，也应纳入敏感个人信息的保护范畴。技术的发展及场景的变化，也为新型的敏感个人信息特殊保护留下空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其次，《个人信息保护法》对敏感个人信息规定了专门的处理规则。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国《个人信息保护法》在区分敏感个人信息与非敏感个人信息的基础上，在第二章专节规定了“敏感个人信息的处理规则”，对处理敏感个人信息的前提进行了限制，要求只有在具有特定的目的和充分的必要性，并采取严格保护措施的情形下，个人信息处理者方可处理敏感个人信息。以此为基础，《个人信息保护法》规定了一些仅适用于敏感个人信息的特殊处理规则，知情同意原则是个人信息保护领域公认的首要原则，既适用于敏感个人信息，也适用于非敏感个人信息，意在实现与加强个人自决。针对敏感个人信息的处理，《个人信息保护法》提出了更高的要求，要求处理敏感个人信息应当取得个人的单独同意。这意味着在处理敏感个人信息时，概括同意或推定同意的授权模式为法律所禁止。法律、行政法规规定处理敏感个人信息应当取得书面同意的，还应取得书面同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对敏感个人信息处理者的告知义务提出了更高的要求。《个人信息保护法》第17条第1款规定：“个人信息处理者在处理个人信息前，应当以显著方式、清晰易懂的语言真实、准确、完整地向个人告知下列事项：（1）个人信息处理者的名称或者姓名和联系方式；（2）个人信息的处理目的、处理方式，处理的个人信息种类、保存期限；（3）个人行使本法规定权利的方式和程序；（4）法律、行政法规规定应当告知的其他事项。”第30条规定：“个人信息处理者处理敏感个人信息的，除本法第17条第1款规定的事项外，还应当向个人告知处理敏感个人信息的必要性以及对个人权益的影响；依照本法规定可以不向个人告知的除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不仅将不满十四周岁未成年人的个人信息列为敏感个人信息，还要求个人信息处理者处理不满十四周岁未成年人个人信息的，应当取得未成年人的父母或者其他监护人的同意。个人信息处理者处理不满十四周岁未成年人个人信息的，应当制定专门的个人信息处理规则。《个人信息保护法》将不满十四周岁未成年人的个人信息作为敏感个人信息，回应了现实中儿童信息泄露等问题，对未成年人个人信息处理进行了更严格的规范，有利于切实维护未成年人的合法利益并促进未成年人健康成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《个人信息保护法》还规定，法律、行政法规对处理敏感个人信息规定应当取得相关行政许可或者作出其他限制的，从其规定。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再次，个人信息处理者处理敏感个人信息应当事前进行个人信息保护影响评估。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对处理敏感个人信息等几种特定情形，《个人信息保护法》规定应在事前进行个人信息保护影响评估，并对处理情况进行记录。个人信息保护影响评估本质上是风险评估。由于处理敏感个人信息可能对自然人的权利和自由带来高度风险，对此类处理进行事前风险评估可以防患于未然。《个人信息保护法》要求个人信息保护影响评估应当包括下列内容：（1）个人信息的处理目的、处理方式等是否合法、正当、必要；（2）对个人权益的影响及安全风险；（3）所采取的保护措施是否合法、有效并与风险程度相适应。个人信息保护影响评估报告和处理情况记录应当至少保存三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综上，我国《个人信息保护法》区分敏感与非敏感的个人信息，并在此基础上确定了敏感个人信息的特殊处理规则，与世界主流个人数据保护立法一致，体现了对与人格尊严或人身、财产安全密切相关的个人信息的倾斜保护，能更有效地防范个人信息风险，更全面保护个人信息主体的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QxZGNiYjEzMTZjZjE0MzY3N2U1ZGNlNTA3YWU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6DA1066"/>
    <w:rsid w:val="070E27FE"/>
    <w:rsid w:val="075E1961"/>
    <w:rsid w:val="08242ED9"/>
    <w:rsid w:val="08A414CB"/>
    <w:rsid w:val="097E1B1C"/>
    <w:rsid w:val="0A3640C2"/>
    <w:rsid w:val="0A830291"/>
    <w:rsid w:val="0AFF6424"/>
    <w:rsid w:val="0B0E0FA2"/>
    <w:rsid w:val="0BB92B92"/>
    <w:rsid w:val="0C566AD6"/>
    <w:rsid w:val="0CFF0D04"/>
    <w:rsid w:val="0D9C4EA1"/>
    <w:rsid w:val="0E693819"/>
    <w:rsid w:val="0FBC77F9"/>
    <w:rsid w:val="102B34B8"/>
    <w:rsid w:val="133A4713"/>
    <w:rsid w:val="13866278"/>
    <w:rsid w:val="1393628D"/>
    <w:rsid w:val="164D4412"/>
    <w:rsid w:val="17E12212"/>
    <w:rsid w:val="183D5BAA"/>
    <w:rsid w:val="193A79F0"/>
    <w:rsid w:val="1A6E7377"/>
    <w:rsid w:val="1C131D9C"/>
    <w:rsid w:val="1CD85DEA"/>
    <w:rsid w:val="1D675D05"/>
    <w:rsid w:val="1E114F52"/>
    <w:rsid w:val="1E3113E9"/>
    <w:rsid w:val="1EA850C4"/>
    <w:rsid w:val="1FB80F3D"/>
    <w:rsid w:val="20AF3BE8"/>
    <w:rsid w:val="21D23A8A"/>
    <w:rsid w:val="220646A2"/>
    <w:rsid w:val="22667CBE"/>
    <w:rsid w:val="234254D7"/>
    <w:rsid w:val="235978A2"/>
    <w:rsid w:val="244B011A"/>
    <w:rsid w:val="244B4DD8"/>
    <w:rsid w:val="24E753F8"/>
    <w:rsid w:val="25031B27"/>
    <w:rsid w:val="25DD4D84"/>
    <w:rsid w:val="26F2161F"/>
    <w:rsid w:val="27CC6E4B"/>
    <w:rsid w:val="28304227"/>
    <w:rsid w:val="283A2317"/>
    <w:rsid w:val="299D56A0"/>
    <w:rsid w:val="29B60C6F"/>
    <w:rsid w:val="2BC7075E"/>
    <w:rsid w:val="2C81470F"/>
    <w:rsid w:val="2C8E3C12"/>
    <w:rsid w:val="2DC07DFB"/>
    <w:rsid w:val="2E973484"/>
    <w:rsid w:val="2F776956"/>
    <w:rsid w:val="304F6692"/>
    <w:rsid w:val="310C64B1"/>
    <w:rsid w:val="31510669"/>
    <w:rsid w:val="316C5948"/>
    <w:rsid w:val="318109B5"/>
    <w:rsid w:val="31B11AB5"/>
    <w:rsid w:val="321E2460"/>
    <w:rsid w:val="33255888"/>
    <w:rsid w:val="33994A92"/>
    <w:rsid w:val="34357FFF"/>
    <w:rsid w:val="35736215"/>
    <w:rsid w:val="35AB75D4"/>
    <w:rsid w:val="374E1F0F"/>
    <w:rsid w:val="375105EC"/>
    <w:rsid w:val="37591082"/>
    <w:rsid w:val="39817F3B"/>
    <w:rsid w:val="3C3E6D87"/>
    <w:rsid w:val="3C9568F7"/>
    <w:rsid w:val="3D5B220A"/>
    <w:rsid w:val="3D6759D2"/>
    <w:rsid w:val="3D7C50A8"/>
    <w:rsid w:val="3DE8684F"/>
    <w:rsid w:val="3E7C08D8"/>
    <w:rsid w:val="3F52287D"/>
    <w:rsid w:val="40D21EC7"/>
    <w:rsid w:val="40F77B80"/>
    <w:rsid w:val="43E066F5"/>
    <w:rsid w:val="44513AB0"/>
    <w:rsid w:val="44E96F64"/>
    <w:rsid w:val="450C0D67"/>
    <w:rsid w:val="461110BF"/>
    <w:rsid w:val="465D13A3"/>
    <w:rsid w:val="47250661"/>
    <w:rsid w:val="484D62D8"/>
    <w:rsid w:val="48655F89"/>
    <w:rsid w:val="494B4C4F"/>
    <w:rsid w:val="4A2A1B94"/>
    <w:rsid w:val="4A2A7AE8"/>
    <w:rsid w:val="4C52210E"/>
    <w:rsid w:val="4D5201D5"/>
    <w:rsid w:val="4E4D260C"/>
    <w:rsid w:val="4E9226A9"/>
    <w:rsid w:val="4EEB41E6"/>
    <w:rsid w:val="4FE70786"/>
    <w:rsid w:val="4FEC63D6"/>
    <w:rsid w:val="4FF23130"/>
    <w:rsid w:val="504F0E3F"/>
    <w:rsid w:val="506E72E7"/>
    <w:rsid w:val="5087573D"/>
    <w:rsid w:val="511810D8"/>
    <w:rsid w:val="512E4EF8"/>
    <w:rsid w:val="514D2B43"/>
    <w:rsid w:val="5175760A"/>
    <w:rsid w:val="51C5671C"/>
    <w:rsid w:val="52E9728D"/>
    <w:rsid w:val="52F30F13"/>
    <w:rsid w:val="53FD5542"/>
    <w:rsid w:val="55BC6BDC"/>
    <w:rsid w:val="56CF7066"/>
    <w:rsid w:val="571D1821"/>
    <w:rsid w:val="57880F90"/>
    <w:rsid w:val="57D82914"/>
    <w:rsid w:val="586B0F9E"/>
    <w:rsid w:val="5AD642FE"/>
    <w:rsid w:val="5B6A17F7"/>
    <w:rsid w:val="5BBC5D34"/>
    <w:rsid w:val="5CBE001C"/>
    <w:rsid w:val="5D172BD2"/>
    <w:rsid w:val="5D4E7572"/>
    <w:rsid w:val="5D875D92"/>
    <w:rsid w:val="5F1A72E4"/>
    <w:rsid w:val="60992979"/>
    <w:rsid w:val="60B62814"/>
    <w:rsid w:val="60E43035"/>
    <w:rsid w:val="6194096D"/>
    <w:rsid w:val="619A14ED"/>
    <w:rsid w:val="620278ED"/>
    <w:rsid w:val="627C183B"/>
    <w:rsid w:val="63552CF2"/>
    <w:rsid w:val="63720E72"/>
    <w:rsid w:val="63EF052E"/>
    <w:rsid w:val="63FE7287"/>
    <w:rsid w:val="66857BA3"/>
    <w:rsid w:val="67312BBD"/>
    <w:rsid w:val="67982C74"/>
    <w:rsid w:val="69302ABB"/>
    <w:rsid w:val="695A01D3"/>
    <w:rsid w:val="6A43006D"/>
    <w:rsid w:val="6B460717"/>
    <w:rsid w:val="6C0134DD"/>
    <w:rsid w:val="6DCC3677"/>
    <w:rsid w:val="6F7A353D"/>
    <w:rsid w:val="70C64CF5"/>
    <w:rsid w:val="70E92F39"/>
    <w:rsid w:val="71F47640"/>
    <w:rsid w:val="753A1AF7"/>
    <w:rsid w:val="7895204F"/>
    <w:rsid w:val="7AAF0F69"/>
    <w:rsid w:val="7AD463A6"/>
    <w:rsid w:val="7D0F3580"/>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Body Text"/>
    <w:basedOn w:val="1"/>
    <w:link w:val="22"/>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unhideWhenUsed/>
    <w:qFormat/>
    <w:uiPriority w:val="99"/>
    <w:rPr>
      <w:color w:val="800080"/>
      <w:u w:val="none"/>
    </w:rPr>
  </w:style>
  <w:style w:type="character" w:styleId="16">
    <w:name w:val="Emphasis"/>
    <w:basedOn w:val="13"/>
    <w:qFormat/>
    <w:uiPriority w:val="20"/>
    <w:rPr>
      <w:i/>
      <w:iCs/>
    </w:rPr>
  </w:style>
  <w:style w:type="character" w:styleId="17">
    <w:name w:val="Hyperlink"/>
    <w:basedOn w:val="13"/>
    <w:unhideWhenUsed/>
    <w:qFormat/>
    <w:uiPriority w:val="99"/>
    <w:rPr>
      <w:color w:val="0000FF"/>
      <w:u w:val="none"/>
    </w:rPr>
  </w:style>
  <w:style w:type="character" w:customStyle="1" w:styleId="18">
    <w:name w:val="标题 1 Char"/>
    <w:basedOn w:val="13"/>
    <w:link w:val="2"/>
    <w:qFormat/>
    <w:uiPriority w:val="9"/>
    <w:rPr>
      <w:rFonts w:ascii="宋体" w:hAnsi="宋体" w:eastAsia="宋体" w:cs="宋体"/>
      <w:b/>
      <w:bCs/>
      <w:kern w:val="36"/>
      <w:sz w:val="48"/>
      <w:szCs w:val="48"/>
    </w:rPr>
  </w:style>
  <w:style w:type="character" w:customStyle="1" w:styleId="19">
    <w:name w:val="标题 2 Char"/>
    <w:basedOn w:val="13"/>
    <w:link w:val="3"/>
    <w:semiHidden/>
    <w:qFormat/>
    <w:uiPriority w:val="9"/>
    <w:rPr>
      <w:rFonts w:ascii="Cambria" w:hAnsi="Cambria" w:eastAsia="宋体" w:cs="Times New Roman"/>
      <w:b/>
      <w:bCs/>
      <w:sz w:val="32"/>
      <w:szCs w:val="32"/>
    </w:rPr>
  </w:style>
  <w:style w:type="character" w:customStyle="1" w:styleId="20">
    <w:name w:val="标题 3 Char"/>
    <w:basedOn w:val="13"/>
    <w:link w:val="4"/>
    <w:semiHidden/>
    <w:qFormat/>
    <w:uiPriority w:val="9"/>
    <w:rPr>
      <w:rFonts w:ascii="等线" w:hAnsi="等线" w:eastAsia="仿宋_GB2312" w:cs="Times New Roman"/>
      <w:b/>
      <w:bCs/>
      <w:sz w:val="32"/>
      <w:szCs w:val="32"/>
    </w:rPr>
  </w:style>
  <w:style w:type="character" w:customStyle="1" w:styleId="21">
    <w:name w:val="标题 4 Char"/>
    <w:basedOn w:val="13"/>
    <w:link w:val="5"/>
    <w:semiHidden/>
    <w:qFormat/>
    <w:uiPriority w:val="9"/>
    <w:rPr>
      <w:rFonts w:ascii="Cambria" w:hAnsi="Cambria" w:eastAsia="宋体" w:cs="Times New Roman"/>
      <w:b/>
      <w:bCs/>
      <w:sz w:val="28"/>
      <w:szCs w:val="28"/>
    </w:rPr>
  </w:style>
  <w:style w:type="character" w:customStyle="1" w:styleId="22">
    <w:name w:val="正文文本 Char"/>
    <w:basedOn w:val="13"/>
    <w:link w:val="6"/>
    <w:qFormat/>
    <w:uiPriority w:val="1"/>
    <w:rPr>
      <w:rFonts w:ascii="宋体" w:hAnsi="宋体" w:eastAsia="宋体" w:cs="宋体"/>
      <w:kern w:val="0"/>
      <w:sz w:val="28"/>
      <w:szCs w:val="28"/>
      <w:lang w:val="zh-CN" w:bidi="zh-CN"/>
    </w:rPr>
  </w:style>
  <w:style w:type="character" w:customStyle="1" w:styleId="23">
    <w:name w:val="日期 Char"/>
    <w:basedOn w:val="13"/>
    <w:link w:val="7"/>
    <w:semiHidden/>
    <w:qFormat/>
    <w:uiPriority w:val="99"/>
    <w:rPr>
      <w:rFonts w:ascii="等线" w:hAnsi="等线" w:eastAsia="仿宋_GB2312"/>
      <w:kern w:val="2"/>
      <w:sz w:val="28"/>
      <w:szCs w:val="22"/>
    </w:rPr>
  </w:style>
  <w:style w:type="character" w:customStyle="1" w:styleId="24">
    <w:name w:val="批注框文本 Char"/>
    <w:basedOn w:val="13"/>
    <w:link w:val="8"/>
    <w:semiHidden/>
    <w:qFormat/>
    <w:uiPriority w:val="99"/>
    <w:rPr>
      <w:rFonts w:ascii="等线" w:hAnsi="等线" w:eastAsia="仿宋_GB2312"/>
      <w:kern w:val="2"/>
      <w:sz w:val="18"/>
      <w:szCs w:val="18"/>
    </w:rPr>
  </w:style>
  <w:style w:type="character" w:customStyle="1" w:styleId="25">
    <w:name w:val="页脚 Char"/>
    <w:basedOn w:val="13"/>
    <w:link w:val="9"/>
    <w:qFormat/>
    <w:uiPriority w:val="99"/>
    <w:rPr>
      <w:sz w:val="18"/>
      <w:szCs w:val="18"/>
    </w:rPr>
  </w:style>
  <w:style w:type="character" w:customStyle="1" w:styleId="26">
    <w:name w:val="页眉 Char"/>
    <w:basedOn w:val="13"/>
    <w:link w:val="10"/>
    <w:qFormat/>
    <w:uiPriority w:val="99"/>
    <w:rPr>
      <w:sz w:val="18"/>
      <w:szCs w:val="18"/>
    </w:rPr>
  </w:style>
  <w:style w:type="paragraph" w:styleId="27">
    <w:name w:val="List Paragraph"/>
    <w:basedOn w:val="1"/>
    <w:unhideWhenUsed/>
    <w:qFormat/>
    <w:uiPriority w:val="1"/>
    <w:pPr>
      <w:ind w:firstLine="420"/>
    </w:pPr>
  </w:style>
  <w:style w:type="paragraph" w:customStyle="1" w:styleId="28">
    <w:name w:val="text_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qFormat/>
    <w:uiPriority w:val="0"/>
  </w:style>
  <w:style w:type="character" w:customStyle="1" w:styleId="30">
    <w:name w:val="item-name1"/>
    <w:basedOn w:val="13"/>
    <w:qFormat/>
    <w:uiPriority w:val="0"/>
  </w:style>
  <w:style w:type="character" w:customStyle="1" w:styleId="31">
    <w:name w:val="item-name2"/>
    <w:basedOn w:val="13"/>
    <w:qFormat/>
    <w:uiPriority w:val="0"/>
  </w:style>
  <w:style w:type="character" w:customStyle="1" w:styleId="32">
    <w:name w:val="item-name3"/>
    <w:basedOn w:val="13"/>
    <w:qFormat/>
    <w:uiPriority w:val="0"/>
  </w:style>
  <w:style w:type="character" w:customStyle="1" w:styleId="33">
    <w:name w:val="pubdate-day"/>
    <w:basedOn w:val="13"/>
    <w:qFormat/>
    <w:uiPriority w:val="0"/>
    <w:rPr>
      <w:shd w:val="clear" w:color="auto" w:fill="F2F2F2"/>
    </w:rPr>
  </w:style>
  <w:style w:type="character" w:customStyle="1" w:styleId="34">
    <w:name w:val="pubdate-month"/>
    <w:basedOn w:val="13"/>
    <w:qFormat/>
    <w:uiPriority w:val="0"/>
    <w:rPr>
      <w:color w:val="FFFFFF"/>
      <w:sz w:val="24"/>
      <w:szCs w:val="24"/>
      <w:shd w:val="clear" w:color="auto" w:fill="CC0000"/>
    </w:rPr>
  </w:style>
  <w:style w:type="paragraph" w:customStyle="1" w:styleId="35">
    <w:name w:val="text_align-cent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qFormat/>
    <w:uiPriority w:val="0"/>
  </w:style>
  <w:style w:type="paragraph" w:customStyle="1" w:styleId="40">
    <w:name w:val="js_darkmode__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qFormat/>
    <w:uiPriority w:val="0"/>
  </w:style>
  <w:style w:type="paragraph" w:customStyle="1" w:styleId="42">
    <w:name w:val="js_darkmode__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qFormat/>
    <w:uiPriority w:val="0"/>
  </w:style>
  <w:style w:type="paragraph" w:customStyle="1" w:styleId="44">
    <w:name w:val="js_darkmode__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qFormat/>
    <w:uiPriority w:val="0"/>
  </w:style>
  <w:style w:type="paragraph" w:customStyle="1" w:styleId="46">
    <w:name w:val="js_darkmode__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qFormat/>
    <w:uiPriority w:val="0"/>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0</TotalTime>
  <ScaleCrop>false</ScaleCrop>
  <LinksUpToDate>false</LinksUpToDate>
  <CharactersWithSpaces>28646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2023-10-20T02:48:36Z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82537AD2917948F1A524EBF1E00C571E_13</vt:lpwstr>
  </property>
</Properties>
</file>