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F1C4DC">
      <w:pPr>
        <w:widowControl w:val="0"/>
        <w:autoSpaceDE/>
        <w:autoSpaceDN/>
        <w:spacing w:beforeAutospacing="0" w:afterAutospacing="0" w:line="520" w:lineRule="exact"/>
        <w:ind w:left="0" w:leftChars="0" w:right="0" w:rightChars="0" w:firstLine="0" w:firstLineChars="0"/>
        <w:jc w:val="both"/>
        <w:outlineLvl w:val="2"/>
        <w:rPr>
          <w:rFonts w:hint="eastAsia" w:ascii="黑体" w:hAnsi="黑体" w:eastAsia="黑体" w:cs="黑体"/>
          <w:b w:val="0"/>
          <w:i w:val="0"/>
          <w:snapToGrid/>
          <w:color w:val="000000"/>
          <w:spacing w:val="0"/>
          <w:w w:val="100"/>
          <w:sz w:val="32"/>
          <w:szCs w:val="24"/>
          <w:u w:val="none"/>
        </w:rPr>
      </w:pPr>
      <w:r>
        <w:rPr>
          <w:rFonts w:hint="eastAsia" w:ascii="黑体" w:hAnsi="黑体" w:eastAsia="黑体" w:cs="黑体"/>
          <w:b w:val="0"/>
          <w:i w:val="0"/>
          <w:snapToGrid/>
          <w:color w:val="000000"/>
          <w:spacing w:val="0"/>
          <w:w w:val="100"/>
          <w:sz w:val="32"/>
          <w:szCs w:val="24"/>
          <w:u w:val="none"/>
        </w:rPr>
        <w:t>附件1</w:t>
      </w:r>
    </w:p>
    <w:p w14:paraId="6042EBA0">
      <w:pPr>
        <w:widowControl w:val="0"/>
        <w:autoSpaceDE/>
        <w:autoSpaceDN/>
        <w:adjustRightInd w:val="0"/>
        <w:snapToGrid w:val="0"/>
        <w:spacing w:beforeAutospacing="0" w:afterAutospacing="0" w:line="600" w:lineRule="exact"/>
        <w:ind w:left="0" w:leftChars="0" w:right="0" w:rightChars="0" w:firstLine="0" w:firstLineChars="0"/>
        <w:jc w:val="center"/>
        <w:outlineLvl w:val="9"/>
        <w:rPr>
          <w:rFonts w:hint="eastAsia" w:ascii="方正小标宋_GBK" w:hAnsi="方正小标宋_GBK" w:eastAsia="方正小标宋_GBK" w:cs="方正小标宋_GBK"/>
          <w:b w:val="0"/>
          <w:i w:val="0"/>
          <w:snapToGrid/>
          <w:color w:val="000000"/>
          <w:spacing w:val="0"/>
          <w:w w:val="100"/>
          <w:kern w:val="0"/>
          <w:sz w:val="44"/>
          <w:szCs w:val="44"/>
          <w:u w:val="none"/>
        </w:rPr>
      </w:pPr>
      <w:r>
        <w:rPr>
          <w:rFonts w:hint="eastAsia" w:ascii="方正小标宋_GBK" w:hAnsi="方正小标宋_GBK" w:eastAsia="方正小标宋_GBK" w:cs="方正小标宋_GBK"/>
          <w:b w:val="0"/>
          <w:i w:val="0"/>
          <w:snapToGrid/>
          <w:color w:val="000000"/>
          <w:spacing w:val="0"/>
          <w:w w:val="100"/>
          <w:kern w:val="0"/>
          <w:sz w:val="44"/>
          <w:szCs w:val="44"/>
          <w:u w:val="none"/>
        </w:rPr>
        <w:t>荆州学院课程评估指标体系（试行）</w:t>
      </w:r>
    </w:p>
    <w:p w14:paraId="3C4878DB">
      <w:pPr>
        <w:widowControl w:val="0"/>
        <w:autoSpaceDE/>
        <w:autoSpaceDN/>
        <w:spacing w:beforeAutospacing="0" w:afterAutospacing="0" w:line="520" w:lineRule="exact"/>
        <w:ind w:left="0" w:leftChars="0" w:right="0" w:rightChars="0" w:firstLine="632" w:firstLineChars="200"/>
        <w:jc w:val="both"/>
        <w:outlineLvl w:val="9"/>
        <w:rPr>
          <w:rFonts w:hint="eastAsia" w:ascii="仿宋_GB2312" w:hAnsi="仿宋_GB2312" w:eastAsia="仿宋_GB2312" w:cs="仿宋_GB2312"/>
          <w:b w:val="0"/>
          <w:i w:val="0"/>
          <w:snapToGrid/>
          <w:color w:val="000000"/>
          <w:spacing w:val="0"/>
          <w:w w:val="100"/>
          <w:sz w:val="32"/>
          <w:szCs w:val="28"/>
          <w:u w:val="none"/>
        </w:rPr>
      </w:pPr>
    </w:p>
    <w:tbl>
      <w:tblPr>
        <w:tblStyle w:val="13"/>
        <w:tblW w:w="56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3"/>
        <w:gridCol w:w="1199"/>
        <w:gridCol w:w="1441"/>
        <w:gridCol w:w="762"/>
        <w:gridCol w:w="4267"/>
        <w:gridCol w:w="4033"/>
        <w:gridCol w:w="1822"/>
      </w:tblGrid>
      <w:tr w14:paraId="7E2A6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418" w:type="pct"/>
            <w:vMerge w:val="restart"/>
            <w:vAlign w:val="center"/>
          </w:tcPr>
          <w:p w14:paraId="6B0BFA9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pacing w:val="-1"/>
                <w:kern w:val="0"/>
                <w:sz w:val="24"/>
                <w:szCs w:val="24"/>
              </w:rPr>
            </w:pPr>
            <w:r>
              <w:rPr>
                <w:rFonts w:hint="eastAsia" w:ascii="仿宋_GB2312" w:hAnsi="仿宋_GB2312" w:eastAsia="仿宋_GB2312" w:cs="仿宋_GB2312"/>
                <w:b/>
                <w:bCs/>
                <w:snapToGrid/>
                <w:spacing w:val="-1"/>
                <w:kern w:val="0"/>
                <w:sz w:val="24"/>
                <w:szCs w:val="24"/>
              </w:rPr>
              <w:t>一级</w:t>
            </w:r>
          </w:p>
          <w:p w14:paraId="13590A3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pacing w:val="-1"/>
                <w:kern w:val="0"/>
                <w:sz w:val="24"/>
                <w:szCs w:val="24"/>
              </w:rPr>
            </w:pPr>
            <w:r>
              <w:rPr>
                <w:rFonts w:hint="eastAsia" w:ascii="仿宋_GB2312" w:hAnsi="仿宋_GB2312" w:eastAsia="仿宋_GB2312" w:cs="仿宋_GB2312"/>
                <w:b/>
                <w:bCs/>
                <w:snapToGrid/>
                <w:spacing w:val="-1"/>
                <w:kern w:val="0"/>
                <w:sz w:val="24"/>
                <w:szCs w:val="24"/>
              </w:rPr>
              <w:t>指标</w:t>
            </w:r>
          </w:p>
        </w:tc>
        <w:tc>
          <w:tcPr>
            <w:tcW w:w="406" w:type="pct"/>
            <w:vMerge w:val="restart"/>
            <w:vAlign w:val="center"/>
          </w:tcPr>
          <w:p w14:paraId="163CE4B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pacing w:val="-1"/>
                <w:kern w:val="0"/>
                <w:sz w:val="24"/>
                <w:szCs w:val="24"/>
              </w:rPr>
            </w:pPr>
            <w:r>
              <w:rPr>
                <w:rFonts w:hint="eastAsia" w:ascii="仿宋_GB2312" w:hAnsi="仿宋_GB2312" w:eastAsia="仿宋_GB2312" w:cs="仿宋_GB2312"/>
                <w:b/>
                <w:bCs/>
                <w:snapToGrid/>
                <w:spacing w:val="-1"/>
                <w:kern w:val="0"/>
                <w:sz w:val="24"/>
                <w:szCs w:val="24"/>
              </w:rPr>
              <w:t>二级</w:t>
            </w:r>
          </w:p>
          <w:p w14:paraId="66961FF7">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pacing w:val="-1"/>
                <w:kern w:val="0"/>
                <w:sz w:val="24"/>
                <w:szCs w:val="24"/>
              </w:rPr>
            </w:pPr>
            <w:r>
              <w:rPr>
                <w:rFonts w:hint="eastAsia" w:ascii="仿宋_GB2312" w:hAnsi="仿宋_GB2312" w:eastAsia="仿宋_GB2312" w:cs="仿宋_GB2312"/>
                <w:b/>
                <w:bCs/>
                <w:snapToGrid/>
                <w:spacing w:val="-1"/>
                <w:kern w:val="0"/>
                <w:sz w:val="24"/>
                <w:szCs w:val="24"/>
              </w:rPr>
              <w:t>指标</w:t>
            </w:r>
          </w:p>
        </w:tc>
        <w:tc>
          <w:tcPr>
            <w:tcW w:w="488" w:type="pct"/>
            <w:vMerge w:val="restart"/>
            <w:vAlign w:val="center"/>
          </w:tcPr>
          <w:p w14:paraId="4D0B407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pacing w:val="-1"/>
                <w:kern w:val="0"/>
                <w:sz w:val="24"/>
                <w:szCs w:val="24"/>
              </w:rPr>
            </w:pPr>
            <w:r>
              <w:rPr>
                <w:rFonts w:hint="eastAsia" w:ascii="仿宋_GB2312" w:hAnsi="仿宋_GB2312" w:eastAsia="仿宋_GB2312" w:cs="仿宋_GB2312"/>
                <w:b/>
                <w:bCs/>
                <w:snapToGrid/>
                <w:spacing w:val="-1"/>
                <w:kern w:val="0"/>
                <w:sz w:val="24"/>
                <w:szCs w:val="24"/>
              </w:rPr>
              <w:t>主要</w:t>
            </w:r>
          </w:p>
          <w:p w14:paraId="3B82F69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pacing w:val="-1"/>
                <w:kern w:val="0"/>
                <w:sz w:val="24"/>
                <w:szCs w:val="24"/>
              </w:rPr>
            </w:pPr>
            <w:r>
              <w:rPr>
                <w:rFonts w:hint="eastAsia" w:ascii="仿宋_GB2312" w:hAnsi="仿宋_GB2312" w:eastAsia="仿宋_GB2312" w:cs="仿宋_GB2312"/>
                <w:b/>
                <w:bCs/>
                <w:snapToGrid/>
                <w:spacing w:val="-1"/>
                <w:kern w:val="0"/>
                <w:sz w:val="24"/>
                <w:szCs w:val="24"/>
              </w:rPr>
              <w:t>观测点</w:t>
            </w:r>
          </w:p>
        </w:tc>
        <w:tc>
          <w:tcPr>
            <w:tcW w:w="258" w:type="pct"/>
            <w:vMerge w:val="restart"/>
            <w:vAlign w:val="center"/>
          </w:tcPr>
          <w:p w14:paraId="51853017">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pacing w:val="-1"/>
                <w:kern w:val="0"/>
                <w:sz w:val="24"/>
                <w:szCs w:val="24"/>
              </w:rPr>
            </w:pPr>
            <w:r>
              <w:rPr>
                <w:rFonts w:hint="eastAsia" w:ascii="仿宋_GB2312" w:hAnsi="仿宋_GB2312" w:eastAsia="仿宋_GB2312" w:cs="仿宋_GB2312"/>
                <w:b/>
                <w:bCs/>
                <w:snapToGrid/>
                <w:spacing w:val="-1"/>
                <w:kern w:val="0"/>
                <w:sz w:val="24"/>
                <w:szCs w:val="24"/>
              </w:rPr>
              <w:t>分值</w:t>
            </w:r>
          </w:p>
        </w:tc>
        <w:tc>
          <w:tcPr>
            <w:tcW w:w="2811" w:type="pct"/>
            <w:gridSpan w:val="2"/>
            <w:vAlign w:val="center"/>
          </w:tcPr>
          <w:p w14:paraId="2B9B0B4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pacing w:val="-1"/>
                <w:kern w:val="0"/>
                <w:sz w:val="24"/>
                <w:szCs w:val="24"/>
              </w:rPr>
            </w:pPr>
            <w:r>
              <w:rPr>
                <w:rFonts w:hint="eastAsia" w:ascii="仿宋_GB2312" w:hAnsi="仿宋_GB2312" w:eastAsia="仿宋_GB2312" w:cs="仿宋_GB2312"/>
                <w:b/>
                <w:bCs/>
                <w:snapToGrid/>
                <w:spacing w:val="-1"/>
                <w:kern w:val="0"/>
                <w:sz w:val="24"/>
                <w:szCs w:val="24"/>
              </w:rPr>
              <w:t>评 价  标 准</w:t>
            </w:r>
          </w:p>
        </w:tc>
        <w:tc>
          <w:tcPr>
            <w:tcW w:w="617" w:type="pct"/>
            <w:vMerge w:val="restart"/>
            <w:vAlign w:val="center"/>
          </w:tcPr>
          <w:p w14:paraId="61B4C1E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pacing w:val="-1"/>
                <w:kern w:val="0"/>
                <w:sz w:val="24"/>
                <w:szCs w:val="24"/>
              </w:rPr>
            </w:pPr>
            <w:r>
              <w:rPr>
                <w:rFonts w:hint="eastAsia" w:ascii="仿宋_GB2312" w:hAnsi="仿宋_GB2312" w:eastAsia="仿宋_GB2312" w:cs="仿宋_GB2312"/>
                <w:b/>
                <w:bCs/>
                <w:snapToGrid/>
                <w:spacing w:val="-1"/>
                <w:kern w:val="0"/>
                <w:sz w:val="24"/>
                <w:szCs w:val="24"/>
              </w:rPr>
              <w:t>评分</w:t>
            </w:r>
          </w:p>
        </w:tc>
      </w:tr>
      <w:tr w14:paraId="68FED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418" w:type="pct"/>
            <w:vMerge w:val="continue"/>
            <w:vAlign w:val="center"/>
          </w:tcPr>
          <w:p w14:paraId="31DB73D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pacing w:val="-1"/>
                <w:kern w:val="0"/>
                <w:sz w:val="24"/>
                <w:szCs w:val="24"/>
              </w:rPr>
            </w:pPr>
          </w:p>
        </w:tc>
        <w:tc>
          <w:tcPr>
            <w:tcW w:w="406" w:type="pct"/>
            <w:vMerge w:val="continue"/>
            <w:vAlign w:val="center"/>
          </w:tcPr>
          <w:p w14:paraId="0BC99FF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pacing w:val="-1"/>
                <w:kern w:val="0"/>
                <w:sz w:val="24"/>
                <w:szCs w:val="24"/>
              </w:rPr>
            </w:pPr>
          </w:p>
        </w:tc>
        <w:tc>
          <w:tcPr>
            <w:tcW w:w="488" w:type="pct"/>
            <w:vMerge w:val="continue"/>
            <w:vAlign w:val="center"/>
          </w:tcPr>
          <w:p w14:paraId="3E2F408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pacing w:val="-1"/>
                <w:kern w:val="0"/>
                <w:sz w:val="24"/>
                <w:szCs w:val="24"/>
              </w:rPr>
            </w:pPr>
          </w:p>
        </w:tc>
        <w:tc>
          <w:tcPr>
            <w:tcW w:w="258" w:type="pct"/>
            <w:vMerge w:val="continue"/>
            <w:vAlign w:val="center"/>
          </w:tcPr>
          <w:p w14:paraId="2256CE1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pacing w:val="-1"/>
                <w:kern w:val="0"/>
                <w:sz w:val="24"/>
                <w:szCs w:val="24"/>
              </w:rPr>
            </w:pPr>
          </w:p>
        </w:tc>
        <w:tc>
          <w:tcPr>
            <w:tcW w:w="1445" w:type="pct"/>
            <w:vAlign w:val="center"/>
          </w:tcPr>
          <w:p w14:paraId="0A449E5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pacing w:val="-1"/>
                <w:kern w:val="0"/>
                <w:sz w:val="24"/>
                <w:szCs w:val="24"/>
              </w:rPr>
            </w:pPr>
            <w:r>
              <w:rPr>
                <w:rFonts w:hint="eastAsia" w:ascii="仿宋_GB2312" w:hAnsi="仿宋_GB2312" w:eastAsia="仿宋_GB2312" w:cs="仿宋_GB2312"/>
                <w:b/>
                <w:bCs/>
                <w:snapToGrid/>
                <w:spacing w:val="-1"/>
                <w:kern w:val="0"/>
                <w:sz w:val="24"/>
                <w:szCs w:val="24"/>
              </w:rPr>
              <w:t>优秀</w:t>
            </w:r>
          </w:p>
        </w:tc>
        <w:tc>
          <w:tcPr>
            <w:tcW w:w="1366" w:type="pct"/>
            <w:vAlign w:val="center"/>
          </w:tcPr>
          <w:p w14:paraId="1265F1E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pacing w:val="-1"/>
                <w:kern w:val="0"/>
                <w:sz w:val="24"/>
                <w:szCs w:val="24"/>
              </w:rPr>
            </w:pPr>
            <w:r>
              <w:rPr>
                <w:rFonts w:hint="eastAsia" w:ascii="仿宋_GB2312" w:hAnsi="仿宋_GB2312" w:eastAsia="仿宋_GB2312" w:cs="仿宋_GB2312"/>
                <w:b/>
                <w:bCs/>
                <w:snapToGrid/>
                <w:spacing w:val="-1"/>
                <w:kern w:val="0"/>
                <w:sz w:val="24"/>
                <w:szCs w:val="24"/>
              </w:rPr>
              <w:t>合格</w:t>
            </w:r>
          </w:p>
        </w:tc>
        <w:tc>
          <w:tcPr>
            <w:tcW w:w="617" w:type="pct"/>
            <w:vMerge w:val="continue"/>
            <w:vAlign w:val="center"/>
          </w:tcPr>
          <w:p w14:paraId="6378B87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pacing w:val="-1"/>
                <w:kern w:val="0"/>
                <w:sz w:val="24"/>
                <w:szCs w:val="24"/>
              </w:rPr>
            </w:pPr>
          </w:p>
        </w:tc>
      </w:tr>
      <w:tr w14:paraId="55DE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9" w:hRule="atLeast"/>
          <w:jc w:val="center"/>
        </w:trPr>
        <w:tc>
          <w:tcPr>
            <w:tcW w:w="418" w:type="pct"/>
            <w:vMerge w:val="restart"/>
            <w:vAlign w:val="center"/>
          </w:tcPr>
          <w:p w14:paraId="7CB066E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b/>
                <w:snapToGrid/>
                <w:sz w:val="24"/>
                <w:szCs w:val="24"/>
              </w:rPr>
              <w:t>1.课程标准（8分）</w:t>
            </w:r>
          </w:p>
        </w:tc>
        <w:tc>
          <w:tcPr>
            <w:tcW w:w="406" w:type="pct"/>
            <w:vAlign w:val="center"/>
          </w:tcPr>
          <w:p w14:paraId="318609A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1-1</w:t>
            </w:r>
          </w:p>
          <w:p w14:paraId="40C09B7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课程理念目标</w:t>
            </w:r>
          </w:p>
          <w:p w14:paraId="3C5DA30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snapToGrid/>
                <w:sz w:val="24"/>
                <w:szCs w:val="24"/>
              </w:rPr>
              <w:t>（4分）</w:t>
            </w:r>
          </w:p>
        </w:tc>
        <w:tc>
          <w:tcPr>
            <w:tcW w:w="488" w:type="pct"/>
            <w:vAlign w:val="center"/>
          </w:tcPr>
          <w:p w14:paraId="5BE5BD9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1-1-1</w:t>
            </w:r>
          </w:p>
          <w:p w14:paraId="255DAF1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课程理念</w:t>
            </w:r>
          </w:p>
          <w:p w14:paraId="6BD64C9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目标</w:t>
            </w:r>
          </w:p>
        </w:tc>
        <w:tc>
          <w:tcPr>
            <w:tcW w:w="258" w:type="pct"/>
            <w:vAlign w:val="center"/>
          </w:tcPr>
          <w:p w14:paraId="15580B5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4</w:t>
            </w:r>
          </w:p>
        </w:tc>
        <w:tc>
          <w:tcPr>
            <w:tcW w:w="1445" w:type="pct"/>
            <w:vAlign w:val="center"/>
          </w:tcPr>
          <w:p w14:paraId="4F871E3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坚持立德树人，坚持以学生发展为中心，融入课程思政，课程教学目标清晰，能够支撑专业毕业要求和培养目标。</w:t>
            </w:r>
          </w:p>
        </w:tc>
        <w:tc>
          <w:tcPr>
            <w:tcW w:w="1366" w:type="pct"/>
            <w:vAlign w:val="center"/>
          </w:tcPr>
          <w:p w14:paraId="76CF10F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课程教学目标基本清晰，基本支撑专业毕业要求和培养目标。</w:t>
            </w:r>
          </w:p>
        </w:tc>
        <w:tc>
          <w:tcPr>
            <w:tcW w:w="617" w:type="pct"/>
            <w:vAlign w:val="center"/>
          </w:tcPr>
          <w:p w14:paraId="1F8E7B7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1209D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9" w:hRule="atLeast"/>
          <w:jc w:val="center"/>
        </w:trPr>
        <w:tc>
          <w:tcPr>
            <w:tcW w:w="418" w:type="pct"/>
            <w:vMerge w:val="continue"/>
            <w:vAlign w:val="center"/>
          </w:tcPr>
          <w:p w14:paraId="627BEFE8">
            <w:pPr>
              <w:keepNext w:val="0"/>
              <w:keepLines w:val="0"/>
              <w:pageBreakBefore w:val="0"/>
              <w:widowControl w:val="0"/>
              <w:kinsoku/>
              <w:wordWrap/>
              <w:overflowPunct/>
              <w:topLinePunct w:val="0"/>
              <w:autoSpaceDE/>
              <w:autoSpaceDN/>
              <w:bidi w:val="0"/>
              <w:snapToGrid w:val="0"/>
              <w:spacing w:line="280" w:lineRule="exact"/>
              <w:textAlignment w:val="auto"/>
              <w:rPr>
                <w:rFonts w:hint="eastAsia" w:ascii="仿宋_GB2312" w:hAnsi="仿宋_GB2312" w:eastAsia="仿宋_GB2312" w:cs="仿宋_GB2312"/>
                <w:snapToGrid/>
                <w:sz w:val="24"/>
                <w:szCs w:val="24"/>
              </w:rPr>
            </w:pPr>
          </w:p>
        </w:tc>
        <w:tc>
          <w:tcPr>
            <w:tcW w:w="406" w:type="pct"/>
            <w:vAlign w:val="center"/>
          </w:tcPr>
          <w:p w14:paraId="5752E90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1-2</w:t>
            </w:r>
          </w:p>
          <w:p w14:paraId="05FAFC2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课程建设规划</w:t>
            </w:r>
          </w:p>
          <w:p w14:paraId="2183154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snapToGrid/>
                <w:sz w:val="24"/>
                <w:szCs w:val="24"/>
              </w:rPr>
              <w:t>（4分）</w:t>
            </w:r>
          </w:p>
        </w:tc>
        <w:tc>
          <w:tcPr>
            <w:tcW w:w="488" w:type="pct"/>
            <w:vAlign w:val="center"/>
          </w:tcPr>
          <w:p w14:paraId="6A0570E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1-2-1</w:t>
            </w:r>
          </w:p>
          <w:p w14:paraId="02ADDCA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课程建设</w:t>
            </w:r>
          </w:p>
          <w:p w14:paraId="17AD0E3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规划</w:t>
            </w:r>
          </w:p>
        </w:tc>
        <w:tc>
          <w:tcPr>
            <w:tcW w:w="258" w:type="pct"/>
            <w:vAlign w:val="center"/>
          </w:tcPr>
          <w:p w14:paraId="08F7D9A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4</w:t>
            </w:r>
          </w:p>
        </w:tc>
        <w:tc>
          <w:tcPr>
            <w:tcW w:w="1445" w:type="pct"/>
            <w:vAlign w:val="center"/>
          </w:tcPr>
          <w:p w14:paraId="163E9AC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制定了科学的课程建设方案，思路明确；有具体实施计划相配套的措施，成效显著。</w:t>
            </w:r>
          </w:p>
        </w:tc>
        <w:tc>
          <w:tcPr>
            <w:tcW w:w="1366" w:type="pct"/>
            <w:vAlign w:val="center"/>
          </w:tcPr>
          <w:p w14:paraId="2CB21D8F">
            <w:pPr>
              <w:keepNext w:val="0"/>
              <w:keepLines w:val="0"/>
              <w:pageBreakBefore w:val="0"/>
              <w:widowControl w:val="0"/>
              <w:kinsoku/>
              <w:wordWrap/>
              <w:overflowPunct/>
              <w:topLinePunct w:val="0"/>
              <w:autoSpaceDE/>
              <w:autoSpaceDN/>
              <w:bidi w:val="0"/>
              <w:spacing w:line="280" w:lineRule="exact"/>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有课程建设与规划；基本执行了课程建设计划，团队授课水平一般，学术氛围一般。</w:t>
            </w:r>
          </w:p>
        </w:tc>
        <w:tc>
          <w:tcPr>
            <w:tcW w:w="617" w:type="pct"/>
            <w:vAlign w:val="center"/>
          </w:tcPr>
          <w:p w14:paraId="76AED067">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5FEC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9" w:hRule="atLeast"/>
          <w:jc w:val="center"/>
        </w:trPr>
        <w:tc>
          <w:tcPr>
            <w:tcW w:w="418" w:type="pct"/>
            <w:vMerge w:val="restart"/>
            <w:vAlign w:val="center"/>
          </w:tcPr>
          <w:p w14:paraId="1800EF3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33A6DED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53DF5E4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49D9BE6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015AB93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r>
              <w:rPr>
                <w:rFonts w:hint="eastAsia" w:ascii="仿宋_GB2312" w:hAnsi="仿宋_GB2312" w:eastAsia="仿宋_GB2312" w:cs="仿宋_GB2312"/>
                <w:b/>
                <w:snapToGrid/>
                <w:sz w:val="24"/>
                <w:szCs w:val="24"/>
              </w:rPr>
              <w:t>2.课程教学团队</w:t>
            </w:r>
          </w:p>
          <w:p w14:paraId="3D3B1D7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r>
              <w:rPr>
                <w:rFonts w:hint="eastAsia" w:ascii="仿宋_GB2312" w:hAnsi="仿宋_GB2312" w:eastAsia="仿宋_GB2312" w:cs="仿宋_GB2312"/>
                <w:b/>
                <w:snapToGrid/>
                <w:sz w:val="24"/>
                <w:szCs w:val="24"/>
              </w:rPr>
              <w:t>[注1]</w:t>
            </w:r>
          </w:p>
          <w:p w14:paraId="09DA9F3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r>
              <w:rPr>
                <w:rFonts w:hint="eastAsia" w:ascii="仿宋_GB2312" w:hAnsi="仿宋_GB2312" w:eastAsia="仿宋_GB2312" w:cs="仿宋_GB2312"/>
                <w:b/>
                <w:snapToGrid/>
                <w:sz w:val="24"/>
                <w:szCs w:val="24"/>
              </w:rPr>
              <w:t>（22分）</w:t>
            </w:r>
          </w:p>
          <w:p w14:paraId="17F25C1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2D339F9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3D632FA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739A1D5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0B90F7A7">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467DCB2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47BA7CA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r>
              <w:rPr>
                <w:rFonts w:hint="eastAsia" w:ascii="仿宋_GB2312" w:hAnsi="仿宋_GB2312" w:eastAsia="仿宋_GB2312" w:cs="仿宋_GB2312"/>
                <w:b/>
                <w:snapToGrid/>
                <w:sz w:val="24"/>
                <w:szCs w:val="24"/>
              </w:rPr>
              <w:t>2.</w:t>
            </w:r>
          </w:p>
          <w:p w14:paraId="591879B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r>
              <w:rPr>
                <w:rFonts w:hint="eastAsia" w:ascii="仿宋_GB2312" w:hAnsi="仿宋_GB2312" w:eastAsia="仿宋_GB2312" w:cs="仿宋_GB2312"/>
                <w:b/>
                <w:snapToGrid/>
                <w:sz w:val="24"/>
                <w:szCs w:val="24"/>
              </w:rPr>
              <w:t>课程教学团队</w:t>
            </w:r>
          </w:p>
          <w:p w14:paraId="0E613A3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r>
              <w:rPr>
                <w:rFonts w:hint="eastAsia" w:ascii="仿宋_GB2312" w:hAnsi="仿宋_GB2312" w:eastAsia="仿宋_GB2312" w:cs="仿宋_GB2312"/>
                <w:b/>
                <w:snapToGrid/>
                <w:sz w:val="24"/>
                <w:szCs w:val="24"/>
              </w:rPr>
              <w:t>[注1]</w:t>
            </w:r>
          </w:p>
          <w:p w14:paraId="4DBEBCB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r>
              <w:rPr>
                <w:rFonts w:hint="eastAsia" w:ascii="仿宋_GB2312" w:hAnsi="仿宋_GB2312" w:eastAsia="仿宋_GB2312" w:cs="仿宋_GB2312"/>
                <w:b/>
                <w:snapToGrid/>
                <w:sz w:val="24"/>
                <w:szCs w:val="24"/>
              </w:rPr>
              <w:t>（22分）</w:t>
            </w:r>
          </w:p>
          <w:p w14:paraId="31588AA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tc>
        <w:tc>
          <w:tcPr>
            <w:tcW w:w="406" w:type="pct"/>
            <w:vAlign w:val="center"/>
          </w:tcPr>
          <w:p w14:paraId="70F3FD7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2-1</w:t>
            </w:r>
          </w:p>
          <w:p w14:paraId="726B15D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snapToGrid/>
                <w:sz w:val="24"/>
                <w:szCs w:val="24"/>
              </w:rPr>
              <w:t>课程负责人</w:t>
            </w:r>
            <w:r>
              <w:rPr>
                <w:rFonts w:hint="eastAsia" w:ascii="仿宋_GB2312" w:hAnsi="仿宋_GB2312" w:eastAsia="仿宋_GB2312" w:cs="仿宋_GB2312"/>
                <w:bCs/>
                <w:snapToGrid/>
                <w:sz w:val="24"/>
                <w:szCs w:val="24"/>
              </w:rPr>
              <w:t>[注2]</w:t>
            </w:r>
          </w:p>
          <w:p w14:paraId="17EB5B4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（3分）</w:t>
            </w:r>
          </w:p>
        </w:tc>
        <w:tc>
          <w:tcPr>
            <w:tcW w:w="488" w:type="pct"/>
            <w:vAlign w:val="center"/>
          </w:tcPr>
          <w:p w14:paraId="48954927">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2-1-1</w:t>
            </w:r>
          </w:p>
          <w:p w14:paraId="350707C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课程负责人</w:t>
            </w:r>
          </w:p>
        </w:tc>
        <w:tc>
          <w:tcPr>
            <w:tcW w:w="258" w:type="pct"/>
            <w:vAlign w:val="center"/>
          </w:tcPr>
          <w:p w14:paraId="2562105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3</w:t>
            </w:r>
          </w:p>
        </w:tc>
        <w:tc>
          <w:tcPr>
            <w:tcW w:w="1445" w:type="pct"/>
            <w:vAlign w:val="center"/>
          </w:tcPr>
          <w:p w14:paraId="2A3F451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bCs/>
                <w:snapToGrid/>
                <w:sz w:val="24"/>
                <w:szCs w:val="24"/>
              </w:rPr>
              <w:t>具有高级职称，师德好，且评价当年（或学年）担任该门课程教学任务；认真履行课程负责人职责，学术造诣高，教学能力强，教学有特色。</w:t>
            </w:r>
          </w:p>
        </w:tc>
        <w:tc>
          <w:tcPr>
            <w:tcW w:w="1366" w:type="pct"/>
            <w:vAlign w:val="center"/>
          </w:tcPr>
          <w:p w14:paraId="0392AFD8">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bCs/>
                <w:snapToGrid/>
                <w:sz w:val="24"/>
                <w:szCs w:val="24"/>
              </w:rPr>
              <w:t>担任过该门课程的教学任务；基本履行课程负责人职责；有一定的学术水平。</w:t>
            </w:r>
          </w:p>
        </w:tc>
        <w:tc>
          <w:tcPr>
            <w:tcW w:w="617" w:type="pct"/>
            <w:vAlign w:val="center"/>
          </w:tcPr>
          <w:p w14:paraId="133831C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6550A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418" w:type="pct"/>
            <w:vMerge w:val="continue"/>
            <w:vAlign w:val="center"/>
          </w:tcPr>
          <w:p w14:paraId="6C310EF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p>
        </w:tc>
        <w:tc>
          <w:tcPr>
            <w:tcW w:w="406" w:type="pct"/>
            <w:vMerge w:val="restart"/>
            <w:vAlign w:val="center"/>
          </w:tcPr>
          <w:p w14:paraId="0C53E79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2-2</w:t>
            </w:r>
          </w:p>
          <w:p w14:paraId="5E2505A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队伍结构（7分）</w:t>
            </w:r>
          </w:p>
        </w:tc>
        <w:tc>
          <w:tcPr>
            <w:tcW w:w="488" w:type="pct"/>
            <w:tcBorders>
              <w:bottom w:val="single" w:color="auto" w:sz="4" w:space="0"/>
            </w:tcBorders>
            <w:vAlign w:val="center"/>
          </w:tcPr>
          <w:p w14:paraId="6704BC0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2-2-1</w:t>
            </w:r>
          </w:p>
          <w:p w14:paraId="51F71A2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队伍结构</w:t>
            </w:r>
          </w:p>
        </w:tc>
        <w:tc>
          <w:tcPr>
            <w:tcW w:w="258" w:type="pct"/>
            <w:tcBorders>
              <w:bottom w:val="single" w:color="auto" w:sz="4" w:space="0"/>
            </w:tcBorders>
            <w:vAlign w:val="center"/>
          </w:tcPr>
          <w:p w14:paraId="5016098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2</w:t>
            </w:r>
          </w:p>
        </w:tc>
        <w:tc>
          <w:tcPr>
            <w:tcW w:w="1445" w:type="pct"/>
            <w:tcBorders>
              <w:bottom w:val="single" w:color="auto" w:sz="4" w:space="0"/>
            </w:tcBorders>
            <w:vAlign w:val="center"/>
          </w:tcPr>
          <w:p w14:paraId="043C253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职称、年龄、学历结构合理。</w:t>
            </w:r>
          </w:p>
        </w:tc>
        <w:tc>
          <w:tcPr>
            <w:tcW w:w="1366" w:type="pct"/>
            <w:vAlign w:val="center"/>
          </w:tcPr>
          <w:p w14:paraId="4846CD8C">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职称、年龄、学历结构基本合理。</w:t>
            </w:r>
          </w:p>
        </w:tc>
        <w:tc>
          <w:tcPr>
            <w:tcW w:w="617" w:type="pct"/>
            <w:tcBorders>
              <w:bottom w:val="single" w:color="auto" w:sz="4" w:space="0"/>
            </w:tcBorders>
            <w:vAlign w:val="center"/>
          </w:tcPr>
          <w:p w14:paraId="1020102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2921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jc w:val="center"/>
        </w:trPr>
        <w:tc>
          <w:tcPr>
            <w:tcW w:w="418" w:type="pct"/>
            <w:vMerge w:val="continue"/>
            <w:vAlign w:val="center"/>
          </w:tcPr>
          <w:p w14:paraId="2F9E8EB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p>
        </w:tc>
        <w:tc>
          <w:tcPr>
            <w:tcW w:w="406" w:type="pct"/>
            <w:vMerge w:val="continue"/>
            <w:vAlign w:val="center"/>
          </w:tcPr>
          <w:p w14:paraId="6B1C7F9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tc>
        <w:tc>
          <w:tcPr>
            <w:tcW w:w="488" w:type="pct"/>
            <w:tcBorders>
              <w:bottom w:val="single" w:color="auto" w:sz="4" w:space="0"/>
            </w:tcBorders>
            <w:vAlign w:val="center"/>
          </w:tcPr>
          <w:p w14:paraId="53F880C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2-2-2</w:t>
            </w:r>
          </w:p>
          <w:p w14:paraId="5D88C81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主讲教师</w:t>
            </w:r>
          </w:p>
          <w:p w14:paraId="23F863D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队伍</w:t>
            </w:r>
          </w:p>
        </w:tc>
        <w:tc>
          <w:tcPr>
            <w:tcW w:w="258" w:type="pct"/>
            <w:tcBorders>
              <w:bottom w:val="single" w:color="auto" w:sz="4" w:space="0"/>
            </w:tcBorders>
            <w:vAlign w:val="center"/>
          </w:tcPr>
          <w:p w14:paraId="2D0066F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3</w:t>
            </w:r>
          </w:p>
        </w:tc>
        <w:tc>
          <w:tcPr>
            <w:tcW w:w="1445" w:type="pct"/>
            <w:tcBorders>
              <w:bottom w:val="single" w:color="auto" w:sz="4" w:space="0"/>
            </w:tcBorders>
            <w:vAlign w:val="center"/>
          </w:tcPr>
          <w:p w14:paraId="26046F3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主讲教师均具有岗位资格；</w:t>
            </w:r>
            <w:r>
              <w:rPr>
                <w:rFonts w:hint="eastAsia" w:ascii="仿宋_GB2312" w:hAnsi="仿宋_GB2312" w:eastAsia="仿宋_GB2312" w:cs="仿宋_GB2312"/>
                <w:bCs/>
                <w:snapToGrid/>
                <w:sz w:val="24"/>
                <w:szCs w:val="24"/>
              </w:rPr>
              <w:t>[注3]</w:t>
            </w:r>
            <w:r>
              <w:rPr>
                <w:rFonts w:hint="eastAsia" w:ascii="仿宋_GB2312" w:hAnsi="仿宋_GB2312" w:eastAsia="仿宋_GB2312" w:cs="仿宋_GB2312"/>
                <w:snapToGrid/>
                <w:sz w:val="24"/>
                <w:szCs w:val="24"/>
              </w:rPr>
              <w:t>主讲教师具有研究生学位的比例≥65%；主讲教师中中级职称以上比例≥40%。</w:t>
            </w:r>
          </w:p>
        </w:tc>
        <w:tc>
          <w:tcPr>
            <w:tcW w:w="1366" w:type="pct"/>
            <w:vAlign w:val="center"/>
          </w:tcPr>
          <w:p w14:paraId="30CBCBA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主讲教师均具有岗位资格；主讲教师具有研究生学位的比例≥55%；主讲教师中级以上职称比例≥30%。</w:t>
            </w:r>
          </w:p>
        </w:tc>
        <w:tc>
          <w:tcPr>
            <w:tcW w:w="617" w:type="pct"/>
            <w:tcBorders>
              <w:bottom w:val="single" w:color="auto" w:sz="4" w:space="0"/>
            </w:tcBorders>
            <w:vAlign w:val="center"/>
          </w:tcPr>
          <w:p w14:paraId="4985533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00D05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jc w:val="center"/>
        </w:trPr>
        <w:tc>
          <w:tcPr>
            <w:tcW w:w="418" w:type="pct"/>
            <w:vMerge w:val="continue"/>
            <w:vAlign w:val="center"/>
          </w:tcPr>
          <w:p w14:paraId="2B0A2C8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p>
        </w:tc>
        <w:tc>
          <w:tcPr>
            <w:tcW w:w="406" w:type="pct"/>
            <w:vMerge w:val="continue"/>
            <w:tcBorders>
              <w:bottom w:val="single" w:color="auto" w:sz="4" w:space="0"/>
            </w:tcBorders>
            <w:vAlign w:val="center"/>
          </w:tcPr>
          <w:p w14:paraId="3B22CDC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p>
        </w:tc>
        <w:tc>
          <w:tcPr>
            <w:tcW w:w="488" w:type="pct"/>
            <w:tcBorders>
              <w:bottom w:val="single" w:color="auto" w:sz="4" w:space="0"/>
            </w:tcBorders>
            <w:vAlign w:val="center"/>
          </w:tcPr>
          <w:p w14:paraId="10993CE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2-2-3</w:t>
            </w:r>
          </w:p>
          <w:p w14:paraId="32B38F1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青年教师</w:t>
            </w:r>
          </w:p>
          <w:p w14:paraId="2E6BFE1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培养</w:t>
            </w:r>
          </w:p>
        </w:tc>
        <w:tc>
          <w:tcPr>
            <w:tcW w:w="258" w:type="pct"/>
            <w:tcBorders>
              <w:bottom w:val="single" w:color="auto" w:sz="4" w:space="0"/>
            </w:tcBorders>
            <w:vAlign w:val="center"/>
          </w:tcPr>
          <w:p w14:paraId="37E2F91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2</w:t>
            </w:r>
          </w:p>
        </w:tc>
        <w:tc>
          <w:tcPr>
            <w:tcW w:w="1445" w:type="pct"/>
            <w:tcBorders>
              <w:bottom w:val="single" w:color="auto" w:sz="4" w:space="0"/>
            </w:tcBorders>
            <w:vAlign w:val="center"/>
          </w:tcPr>
          <w:p w14:paraId="4054F04C">
            <w:pPr>
              <w:keepNext w:val="0"/>
              <w:keepLines w:val="0"/>
              <w:pageBreakBefore w:val="0"/>
              <w:widowControl w:val="0"/>
              <w:kinsoku/>
              <w:wordWrap/>
              <w:overflowPunct/>
              <w:topLinePunct w:val="0"/>
              <w:autoSpaceDE/>
              <w:autoSpaceDN/>
              <w:bidi w:val="0"/>
              <w:adjustRightInd w:val="0"/>
              <w:snapToGrid w:val="0"/>
              <w:spacing w:line="280" w:lineRule="exact"/>
              <w:ind w:left="-31" w:leftChars="-10"/>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青年教师培养计划科学合理，并取得实际效果。</w:t>
            </w:r>
          </w:p>
        </w:tc>
        <w:tc>
          <w:tcPr>
            <w:tcW w:w="1366" w:type="pct"/>
            <w:vAlign w:val="center"/>
          </w:tcPr>
          <w:p w14:paraId="4130438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青年教师的培养有计划，基本按照计划执行。</w:t>
            </w:r>
          </w:p>
        </w:tc>
        <w:tc>
          <w:tcPr>
            <w:tcW w:w="617" w:type="pct"/>
            <w:tcBorders>
              <w:bottom w:val="single" w:color="auto" w:sz="4" w:space="0"/>
            </w:tcBorders>
            <w:vAlign w:val="center"/>
          </w:tcPr>
          <w:p w14:paraId="537D046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5BA42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9" w:hRule="atLeast"/>
          <w:jc w:val="center"/>
        </w:trPr>
        <w:tc>
          <w:tcPr>
            <w:tcW w:w="418" w:type="pct"/>
            <w:vMerge w:val="continue"/>
            <w:vAlign w:val="center"/>
          </w:tcPr>
          <w:p w14:paraId="3696C69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p>
        </w:tc>
        <w:tc>
          <w:tcPr>
            <w:tcW w:w="406" w:type="pct"/>
            <w:vMerge w:val="restart"/>
            <w:vAlign w:val="center"/>
          </w:tcPr>
          <w:p w14:paraId="39C02D1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2-3</w:t>
            </w:r>
          </w:p>
          <w:p w14:paraId="01E5E2F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教学研究与改革</w:t>
            </w:r>
          </w:p>
          <w:p w14:paraId="306A328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（9分）</w:t>
            </w:r>
          </w:p>
        </w:tc>
        <w:tc>
          <w:tcPr>
            <w:tcW w:w="488" w:type="pct"/>
            <w:vAlign w:val="center"/>
          </w:tcPr>
          <w:p w14:paraId="59980FE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2-3-1</w:t>
            </w:r>
          </w:p>
          <w:p w14:paraId="60D8943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教研教改项目申报、立项</w:t>
            </w:r>
          </w:p>
        </w:tc>
        <w:tc>
          <w:tcPr>
            <w:tcW w:w="258" w:type="pct"/>
            <w:vAlign w:val="center"/>
          </w:tcPr>
          <w:p w14:paraId="4827415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5</w:t>
            </w:r>
          </w:p>
        </w:tc>
        <w:tc>
          <w:tcPr>
            <w:tcW w:w="1445" w:type="pct"/>
            <w:vAlign w:val="center"/>
          </w:tcPr>
          <w:p w14:paraId="2F64401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snapToGrid/>
                <w:sz w:val="24"/>
                <w:szCs w:val="24"/>
              </w:rPr>
              <w:t>积极申报教研教改项目；</w:t>
            </w:r>
            <w:r>
              <w:rPr>
                <w:rFonts w:hint="eastAsia" w:ascii="仿宋_GB2312" w:hAnsi="仿宋_GB2312" w:eastAsia="仿宋_GB2312" w:cs="仿宋_GB2312"/>
                <w:bCs/>
                <w:snapToGrid/>
                <w:sz w:val="24"/>
                <w:szCs w:val="24"/>
              </w:rPr>
              <w:t>近五年有省部级及以上与本课程相关的教研教改项目。</w:t>
            </w:r>
          </w:p>
        </w:tc>
        <w:tc>
          <w:tcPr>
            <w:tcW w:w="1366" w:type="pct"/>
            <w:vAlign w:val="center"/>
          </w:tcPr>
          <w:p w14:paraId="305ABF3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近五年有校级与本课程相关的教研教改项目。</w:t>
            </w:r>
          </w:p>
        </w:tc>
        <w:tc>
          <w:tcPr>
            <w:tcW w:w="617" w:type="pct"/>
            <w:vAlign w:val="center"/>
          </w:tcPr>
          <w:p w14:paraId="715FFB9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6447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9" w:hRule="atLeast"/>
          <w:jc w:val="center"/>
        </w:trPr>
        <w:tc>
          <w:tcPr>
            <w:tcW w:w="418" w:type="pct"/>
            <w:vMerge w:val="continue"/>
            <w:vAlign w:val="center"/>
          </w:tcPr>
          <w:p w14:paraId="6AC7647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p>
        </w:tc>
        <w:tc>
          <w:tcPr>
            <w:tcW w:w="406" w:type="pct"/>
            <w:vMerge w:val="continue"/>
            <w:vAlign w:val="center"/>
          </w:tcPr>
          <w:p w14:paraId="2F48EE1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tc>
        <w:tc>
          <w:tcPr>
            <w:tcW w:w="488" w:type="pct"/>
            <w:vAlign w:val="center"/>
          </w:tcPr>
          <w:p w14:paraId="49464C8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2-3-2</w:t>
            </w:r>
          </w:p>
          <w:p w14:paraId="681347E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教改成果与教学成果</w:t>
            </w:r>
          </w:p>
        </w:tc>
        <w:tc>
          <w:tcPr>
            <w:tcW w:w="258" w:type="pct"/>
            <w:vAlign w:val="center"/>
          </w:tcPr>
          <w:p w14:paraId="6520DE2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w:t>
            </w:r>
          </w:p>
        </w:tc>
        <w:tc>
          <w:tcPr>
            <w:tcW w:w="1445" w:type="pct"/>
            <w:vAlign w:val="center"/>
          </w:tcPr>
          <w:p w14:paraId="3443ED9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近五年公开发表了较高质量的与本课程相关的教学研究论文；[注4]获多项校级以上教学成果奖、优秀教师等教师类、教学类奖项。</w:t>
            </w:r>
          </w:p>
        </w:tc>
        <w:tc>
          <w:tcPr>
            <w:tcW w:w="1366" w:type="pct"/>
            <w:vAlign w:val="center"/>
          </w:tcPr>
          <w:p w14:paraId="299EDE8F">
            <w:pPr>
              <w:keepNext w:val="0"/>
              <w:keepLines w:val="0"/>
              <w:pageBreakBefore w:val="0"/>
              <w:widowControl w:val="0"/>
              <w:kinsoku/>
              <w:wordWrap/>
              <w:overflowPunct/>
              <w:topLinePunct w:val="0"/>
              <w:autoSpaceDE/>
              <w:autoSpaceDN/>
              <w:bidi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bCs/>
                <w:snapToGrid/>
                <w:sz w:val="24"/>
                <w:szCs w:val="24"/>
              </w:rPr>
              <w:t>近五年公开发表了与本课程相关的教学研究论文或获得校级教学成果奖、优秀教师等教师类、教学类奖项。</w:t>
            </w:r>
          </w:p>
        </w:tc>
        <w:tc>
          <w:tcPr>
            <w:tcW w:w="617" w:type="pct"/>
            <w:vAlign w:val="center"/>
          </w:tcPr>
          <w:p w14:paraId="791F399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7EFB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9" w:hRule="atLeast"/>
          <w:jc w:val="center"/>
        </w:trPr>
        <w:tc>
          <w:tcPr>
            <w:tcW w:w="418" w:type="pct"/>
            <w:vMerge w:val="continue"/>
            <w:vAlign w:val="center"/>
          </w:tcPr>
          <w:p w14:paraId="53759042">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p>
        </w:tc>
        <w:tc>
          <w:tcPr>
            <w:tcW w:w="406" w:type="pct"/>
            <w:vAlign w:val="center"/>
          </w:tcPr>
          <w:p w14:paraId="7E859EF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2-4</w:t>
            </w:r>
          </w:p>
          <w:p w14:paraId="5F02457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snapToGrid/>
                <w:sz w:val="24"/>
                <w:szCs w:val="24"/>
              </w:rPr>
              <w:t>师德师风（3分）</w:t>
            </w:r>
          </w:p>
        </w:tc>
        <w:tc>
          <w:tcPr>
            <w:tcW w:w="488" w:type="pct"/>
            <w:vAlign w:val="center"/>
          </w:tcPr>
          <w:p w14:paraId="116423D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bCs/>
                <w:snapToGrid/>
                <w:sz w:val="24"/>
                <w:szCs w:val="24"/>
              </w:rPr>
              <w:t>2-4-1</w:t>
            </w:r>
          </w:p>
          <w:p w14:paraId="624E8AF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团队合作</w:t>
            </w:r>
          </w:p>
          <w:p w14:paraId="7B69CD67">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教书育人</w:t>
            </w:r>
          </w:p>
        </w:tc>
        <w:tc>
          <w:tcPr>
            <w:tcW w:w="258" w:type="pct"/>
            <w:vAlign w:val="center"/>
          </w:tcPr>
          <w:p w14:paraId="0694C3F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3</w:t>
            </w:r>
          </w:p>
        </w:tc>
        <w:tc>
          <w:tcPr>
            <w:tcW w:w="1445" w:type="pct"/>
            <w:vAlign w:val="center"/>
          </w:tcPr>
          <w:p w14:paraId="3831FBF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bCs/>
                <w:snapToGrid/>
                <w:sz w:val="24"/>
                <w:szCs w:val="24"/>
              </w:rPr>
              <w:t>已形成教学团队，团队凝聚力强，团结协作好；教师严格履行岗位职责，严谨治学，从严执教，教书育人；遵守教学纪律，无教学事故。</w:t>
            </w:r>
          </w:p>
        </w:tc>
        <w:tc>
          <w:tcPr>
            <w:tcW w:w="1366" w:type="pct"/>
            <w:vAlign w:val="center"/>
          </w:tcPr>
          <w:p w14:paraId="0258CD3C">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bCs/>
                <w:snapToGrid/>
                <w:sz w:val="24"/>
                <w:szCs w:val="24"/>
              </w:rPr>
              <w:t>未建成教学团队；</w:t>
            </w:r>
            <w:r>
              <w:rPr>
                <w:rFonts w:hint="eastAsia" w:ascii="仿宋_GB2312" w:hAnsi="仿宋_GB2312" w:eastAsia="仿宋_GB2312" w:cs="仿宋_GB2312"/>
                <w:snapToGrid/>
                <w:sz w:val="24"/>
                <w:szCs w:val="24"/>
              </w:rPr>
              <w:t>无重大教学事故。</w:t>
            </w:r>
          </w:p>
        </w:tc>
        <w:tc>
          <w:tcPr>
            <w:tcW w:w="617" w:type="pct"/>
            <w:vAlign w:val="center"/>
          </w:tcPr>
          <w:p w14:paraId="1943EDF7">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6107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07" w:hRule="atLeast"/>
          <w:jc w:val="center"/>
        </w:trPr>
        <w:tc>
          <w:tcPr>
            <w:tcW w:w="418" w:type="pct"/>
            <w:vMerge w:val="restart"/>
            <w:vAlign w:val="center"/>
          </w:tcPr>
          <w:p w14:paraId="7DEA2FA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b/>
                <w:snapToGrid/>
                <w:sz w:val="24"/>
                <w:szCs w:val="24"/>
              </w:rPr>
              <w:t>3.课程资源（15分）</w:t>
            </w:r>
          </w:p>
        </w:tc>
        <w:tc>
          <w:tcPr>
            <w:tcW w:w="406" w:type="pct"/>
            <w:vAlign w:val="center"/>
          </w:tcPr>
          <w:p w14:paraId="19F7510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3-1</w:t>
            </w:r>
          </w:p>
          <w:p w14:paraId="6B1823C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教材及相关资料</w:t>
            </w:r>
          </w:p>
          <w:p w14:paraId="203D2F4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（5分）</w:t>
            </w:r>
          </w:p>
        </w:tc>
        <w:tc>
          <w:tcPr>
            <w:tcW w:w="488" w:type="pct"/>
            <w:vAlign w:val="center"/>
          </w:tcPr>
          <w:p w14:paraId="70C961B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3-1-1</w:t>
            </w:r>
          </w:p>
          <w:p w14:paraId="59928C9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教材及相关资料建设</w:t>
            </w:r>
          </w:p>
        </w:tc>
        <w:tc>
          <w:tcPr>
            <w:tcW w:w="258" w:type="pct"/>
            <w:vAlign w:val="center"/>
          </w:tcPr>
          <w:p w14:paraId="6A4A6A1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5</w:t>
            </w:r>
          </w:p>
        </w:tc>
        <w:tc>
          <w:tcPr>
            <w:tcW w:w="1445" w:type="pct"/>
            <w:vAlign w:val="center"/>
          </w:tcPr>
          <w:p w14:paraId="1D6F7C9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选用近三年出版的高质量教材[注5]或自编适用性强的教材，学生满意；有完整的、配套的教学参考资料（含参考书、实践环节指导书、习题集、案例、学生必读书目等），为学生的研究性学习和自主学习的开展提供了有效的文献资料，使用率高；有实验的课程，实验教材（指导书）配套齐全，充分满足教学需要。各项教学材料归档规范。</w:t>
            </w:r>
          </w:p>
        </w:tc>
        <w:tc>
          <w:tcPr>
            <w:tcW w:w="1366" w:type="pct"/>
            <w:vAlign w:val="center"/>
          </w:tcPr>
          <w:p w14:paraId="2BD7188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选用的教材，学生满意；为学生的学习提供了文献资料或资料清单；配套的实验教材（指导书）基本满足教学需要；完成了教学材料的归档。</w:t>
            </w:r>
          </w:p>
        </w:tc>
        <w:tc>
          <w:tcPr>
            <w:tcW w:w="617" w:type="pct"/>
            <w:vAlign w:val="center"/>
          </w:tcPr>
          <w:p w14:paraId="5F88386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0F96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7" w:hRule="atLeast"/>
          <w:jc w:val="center"/>
        </w:trPr>
        <w:tc>
          <w:tcPr>
            <w:tcW w:w="418" w:type="pct"/>
            <w:vMerge w:val="continue"/>
            <w:vAlign w:val="center"/>
          </w:tcPr>
          <w:p w14:paraId="38787221">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p>
        </w:tc>
        <w:tc>
          <w:tcPr>
            <w:tcW w:w="406" w:type="pct"/>
            <w:vAlign w:val="center"/>
          </w:tcPr>
          <w:p w14:paraId="585E6A0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3-2</w:t>
            </w:r>
          </w:p>
          <w:p w14:paraId="6C4C50A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实践性教学[注6]条件</w:t>
            </w:r>
          </w:p>
          <w:p w14:paraId="0976090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（4分）</w:t>
            </w:r>
          </w:p>
        </w:tc>
        <w:tc>
          <w:tcPr>
            <w:tcW w:w="488" w:type="pct"/>
            <w:vAlign w:val="center"/>
          </w:tcPr>
          <w:p w14:paraId="0586530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3-2-1</w:t>
            </w:r>
          </w:p>
          <w:p w14:paraId="3CC4B217">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实践性教学条件的数量质量及使用效果</w:t>
            </w:r>
          </w:p>
        </w:tc>
        <w:tc>
          <w:tcPr>
            <w:tcW w:w="258" w:type="pct"/>
            <w:vAlign w:val="center"/>
          </w:tcPr>
          <w:p w14:paraId="6107A76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w:t>
            </w:r>
          </w:p>
        </w:tc>
        <w:tc>
          <w:tcPr>
            <w:tcW w:w="1445" w:type="pct"/>
            <w:vAlign w:val="center"/>
          </w:tcPr>
          <w:p w14:paraId="675386A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实践性教学条件充分满足教学要求；实验开出率达到教学大纲要求的100%；能进行开放式教学，效果明显（理工类课程能开出高水平的选做实验）。</w:t>
            </w:r>
          </w:p>
        </w:tc>
        <w:tc>
          <w:tcPr>
            <w:tcW w:w="1366" w:type="pct"/>
            <w:vAlign w:val="center"/>
          </w:tcPr>
          <w:p w14:paraId="4847B9C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实践性教学条件基本满足教学内容要求；实验开出率达到教学大纲要求的90%；实践性教学环境对学生和教师开放。</w:t>
            </w:r>
          </w:p>
        </w:tc>
        <w:tc>
          <w:tcPr>
            <w:tcW w:w="617" w:type="pct"/>
            <w:vAlign w:val="center"/>
          </w:tcPr>
          <w:p w14:paraId="6AD7909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4881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9" w:hRule="atLeast"/>
          <w:jc w:val="center"/>
        </w:trPr>
        <w:tc>
          <w:tcPr>
            <w:tcW w:w="418" w:type="pct"/>
            <w:vMerge w:val="continue"/>
            <w:vAlign w:val="center"/>
          </w:tcPr>
          <w:p w14:paraId="7AAD2B5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p>
        </w:tc>
        <w:tc>
          <w:tcPr>
            <w:tcW w:w="406" w:type="pct"/>
            <w:vAlign w:val="center"/>
          </w:tcPr>
          <w:p w14:paraId="02A2129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3-3</w:t>
            </w:r>
          </w:p>
          <w:p w14:paraId="5119975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网络教学环境</w:t>
            </w:r>
          </w:p>
          <w:p w14:paraId="49A6DCC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（6分）</w:t>
            </w:r>
          </w:p>
        </w:tc>
        <w:tc>
          <w:tcPr>
            <w:tcW w:w="488" w:type="pct"/>
            <w:vAlign w:val="center"/>
          </w:tcPr>
          <w:p w14:paraId="0D04AA4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3-3-1</w:t>
            </w:r>
          </w:p>
          <w:p w14:paraId="3B619707">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网络教学资源及其应用</w:t>
            </w:r>
          </w:p>
        </w:tc>
        <w:tc>
          <w:tcPr>
            <w:tcW w:w="258" w:type="pct"/>
            <w:vAlign w:val="center"/>
          </w:tcPr>
          <w:p w14:paraId="2F20C1D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6</w:t>
            </w:r>
          </w:p>
        </w:tc>
        <w:tc>
          <w:tcPr>
            <w:tcW w:w="1445" w:type="pct"/>
            <w:vAlign w:val="center"/>
          </w:tcPr>
          <w:p w14:paraId="46DA653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bCs/>
                <w:snapToGrid/>
                <w:sz w:val="24"/>
                <w:szCs w:val="24"/>
              </w:rPr>
            </w:pPr>
            <w:r>
              <w:rPr>
                <w:rFonts w:hint="eastAsia" w:ascii="仿宋_GB2312" w:hAnsi="仿宋_GB2312" w:eastAsia="仿宋_GB2312" w:cs="仿宋_GB2312"/>
                <w:snapToGrid/>
                <w:sz w:val="24"/>
                <w:szCs w:val="24"/>
              </w:rPr>
              <w:t>建有教学资源丰富、节点和栏目齐全、运行良好的课程网站（网页）；课程网上资源能有效共享，点击率较高，在教学</w:t>
            </w:r>
            <w:r>
              <w:rPr>
                <w:rFonts w:hint="eastAsia" w:ascii="仿宋_GB2312" w:hAnsi="仿宋_GB2312" w:eastAsia="仿宋_GB2312" w:cs="仿宋_GB2312"/>
                <w:bCs/>
                <w:snapToGrid/>
                <w:sz w:val="24"/>
                <w:szCs w:val="24"/>
              </w:rPr>
              <w:t>中确实发挥了作用。</w:t>
            </w:r>
          </w:p>
        </w:tc>
        <w:tc>
          <w:tcPr>
            <w:tcW w:w="1366" w:type="pct"/>
            <w:vAlign w:val="center"/>
          </w:tcPr>
          <w:p w14:paraId="290BB57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有效使用了网络教学资源为教学服务。</w:t>
            </w:r>
          </w:p>
        </w:tc>
        <w:tc>
          <w:tcPr>
            <w:tcW w:w="617" w:type="pct"/>
            <w:vAlign w:val="center"/>
          </w:tcPr>
          <w:p w14:paraId="5FE5152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2747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4" w:hRule="atLeast"/>
          <w:jc w:val="center"/>
        </w:trPr>
        <w:tc>
          <w:tcPr>
            <w:tcW w:w="418" w:type="pct"/>
            <w:vMerge w:val="restart"/>
            <w:vAlign w:val="center"/>
          </w:tcPr>
          <w:p w14:paraId="79E7107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p w14:paraId="76F75E9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p w14:paraId="3161AE4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p w14:paraId="2A4F1EE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p w14:paraId="7134EE1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p w14:paraId="7EE4BD5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p w14:paraId="191D573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p w14:paraId="7DF0C89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p w14:paraId="7111334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p w14:paraId="0DD9E8E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p w14:paraId="1D6B7C6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p w14:paraId="2CD596F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p w14:paraId="52A1BAA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p w14:paraId="6A720CD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color w:val="000000"/>
                <w:sz w:val="24"/>
                <w:szCs w:val="24"/>
              </w:rPr>
            </w:pPr>
            <w:r>
              <w:rPr>
                <w:rFonts w:hint="eastAsia" w:ascii="仿宋_GB2312" w:hAnsi="仿宋_GB2312" w:eastAsia="仿宋_GB2312" w:cs="仿宋_GB2312"/>
                <w:b/>
                <w:bCs/>
                <w:snapToGrid/>
                <w:color w:val="000000"/>
                <w:sz w:val="24"/>
                <w:szCs w:val="24"/>
              </w:rPr>
              <w:t>4</w:t>
            </w:r>
            <w:r>
              <w:rPr>
                <w:rFonts w:hint="eastAsia" w:ascii="仿宋_GB2312" w:hAnsi="仿宋_GB2312" w:eastAsia="仿宋_GB2312" w:cs="仿宋_GB2312"/>
                <w:b/>
                <w:bCs/>
                <w:snapToGrid/>
                <w:sz w:val="24"/>
                <w:szCs w:val="24"/>
              </w:rPr>
              <w:t>.</w:t>
            </w:r>
          </w:p>
          <w:p w14:paraId="40ED6AB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b/>
                <w:bCs/>
                <w:snapToGrid/>
                <w:color w:val="000000"/>
                <w:sz w:val="24"/>
                <w:szCs w:val="24"/>
              </w:rPr>
              <w:t>教学过程（25分）</w:t>
            </w:r>
          </w:p>
          <w:p w14:paraId="1371B99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05931CF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2CF35FF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2445E3D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11BF0BD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38F887A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44407D47">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5AC3216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36F3DA6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1FFC0A37">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7848DBE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6C1C7AA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241AB37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p w14:paraId="469942A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b/>
                <w:snapToGrid/>
                <w:sz w:val="24"/>
                <w:szCs w:val="24"/>
              </w:rPr>
            </w:pPr>
          </w:p>
          <w:p w14:paraId="272D467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b/>
                <w:snapToGrid/>
                <w:sz w:val="24"/>
                <w:szCs w:val="24"/>
              </w:rPr>
            </w:pPr>
          </w:p>
          <w:p w14:paraId="658F981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b/>
                <w:snapToGrid/>
                <w:sz w:val="24"/>
                <w:szCs w:val="24"/>
              </w:rPr>
            </w:pPr>
          </w:p>
          <w:p w14:paraId="2D3EDFA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r>
              <w:rPr>
                <w:rFonts w:hint="eastAsia" w:ascii="仿宋_GB2312" w:hAnsi="仿宋_GB2312" w:eastAsia="仿宋_GB2312" w:cs="仿宋_GB2312"/>
                <w:b/>
                <w:snapToGrid/>
                <w:sz w:val="24"/>
                <w:szCs w:val="24"/>
              </w:rPr>
              <w:t>4.</w:t>
            </w:r>
          </w:p>
          <w:p w14:paraId="05445E81">
            <w:pPr>
              <w:keepNext w:val="0"/>
              <w:keepLines w:val="0"/>
              <w:pageBreakBefore w:val="0"/>
              <w:widowControl w:val="0"/>
              <w:kinsoku/>
              <w:wordWrap/>
              <w:overflowPunct/>
              <w:topLinePunct w:val="0"/>
              <w:autoSpaceDE/>
              <w:autoSpaceDN/>
              <w:bidi w:val="0"/>
              <w:spacing w:line="280" w:lineRule="exact"/>
              <w:textAlignment w:val="auto"/>
              <w:rPr>
                <w:rFonts w:hint="eastAsia" w:ascii="仿宋_GB2312" w:hAnsi="仿宋_GB2312" w:eastAsia="仿宋_GB2312" w:cs="仿宋_GB2312"/>
                <w:snapToGrid/>
                <w:color w:val="000000"/>
                <w:sz w:val="24"/>
                <w:szCs w:val="24"/>
                <w:lang w:val="zh-CN"/>
              </w:rPr>
            </w:pPr>
            <w:r>
              <w:rPr>
                <w:rFonts w:hint="eastAsia" w:ascii="仿宋_GB2312" w:hAnsi="仿宋_GB2312" w:eastAsia="仿宋_GB2312" w:cs="仿宋_GB2312"/>
                <w:b/>
                <w:snapToGrid/>
                <w:sz w:val="24"/>
                <w:szCs w:val="24"/>
                <w:lang w:val="zh-CN"/>
              </w:rPr>
              <w:t>教学过程（</w:t>
            </w:r>
            <w:r>
              <w:rPr>
                <w:rFonts w:hint="eastAsia" w:ascii="仿宋_GB2312" w:hAnsi="仿宋_GB2312" w:eastAsia="仿宋_GB2312" w:cs="仿宋_GB2312"/>
                <w:b/>
                <w:snapToGrid/>
                <w:sz w:val="24"/>
                <w:szCs w:val="24"/>
              </w:rPr>
              <w:t>25</w:t>
            </w:r>
            <w:r>
              <w:rPr>
                <w:rFonts w:hint="eastAsia" w:ascii="仿宋_GB2312" w:hAnsi="仿宋_GB2312" w:eastAsia="仿宋_GB2312" w:cs="仿宋_GB2312"/>
                <w:b/>
                <w:snapToGrid/>
                <w:sz w:val="24"/>
                <w:szCs w:val="24"/>
                <w:lang w:val="zh-CN"/>
              </w:rPr>
              <w:t>分）</w:t>
            </w:r>
          </w:p>
        </w:tc>
        <w:tc>
          <w:tcPr>
            <w:tcW w:w="406" w:type="pct"/>
            <w:vMerge w:val="restart"/>
            <w:vAlign w:val="center"/>
          </w:tcPr>
          <w:p w14:paraId="7E821FD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4-1</w:t>
            </w:r>
          </w:p>
          <w:p w14:paraId="17C6C7C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课程内容</w:t>
            </w:r>
          </w:p>
          <w:p w14:paraId="1831670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（8分）</w:t>
            </w:r>
          </w:p>
        </w:tc>
        <w:tc>
          <w:tcPr>
            <w:tcW w:w="488" w:type="pct"/>
            <w:vAlign w:val="center"/>
          </w:tcPr>
          <w:p w14:paraId="3917876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4-1-1</w:t>
            </w:r>
          </w:p>
          <w:p w14:paraId="13886EF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课程内容</w:t>
            </w:r>
          </w:p>
          <w:p w14:paraId="5865E62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设计的合理性、科学性、先进性</w:t>
            </w:r>
          </w:p>
        </w:tc>
        <w:tc>
          <w:tcPr>
            <w:tcW w:w="258" w:type="pct"/>
            <w:vAlign w:val="center"/>
          </w:tcPr>
          <w:p w14:paraId="202D02E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5</w:t>
            </w:r>
          </w:p>
        </w:tc>
        <w:tc>
          <w:tcPr>
            <w:tcW w:w="1445" w:type="pct"/>
            <w:vAlign w:val="center"/>
          </w:tcPr>
          <w:p w14:paraId="46174F9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有科学的、切实可行的、符合人才培养目标和课程定位的教学大纲，并适时修订；课程内容符合教学大纲要求，正确处理基础性与前沿性、经典与现代、理论与实践、先行与后续关系。教学进度表与教学大纲内容一致，安排合理。</w:t>
            </w:r>
          </w:p>
        </w:tc>
        <w:tc>
          <w:tcPr>
            <w:tcW w:w="1366" w:type="pct"/>
            <w:vAlign w:val="center"/>
          </w:tcPr>
          <w:p w14:paraId="1A84188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有教学大纲，课程内容基本符合教学大纲要求，教学进度表与教学大纲内容基本一致。</w:t>
            </w:r>
          </w:p>
        </w:tc>
        <w:tc>
          <w:tcPr>
            <w:tcW w:w="617" w:type="pct"/>
            <w:vAlign w:val="center"/>
          </w:tcPr>
          <w:p w14:paraId="53723C7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44B29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4" w:hRule="atLeast"/>
          <w:jc w:val="center"/>
        </w:trPr>
        <w:tc>
          <w:tcPr>
            <w:tcW w:w="418" w:type="pct"/>
            <w:vMerge w:val="continue"/>
            <w:vAlign w:val="center"/>
          </w:tcPr>
          <w:p w14:paraId="5E195C3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tc>
        <w:tc>
          <w:tcPr>
            <w:tcW w:w="406" w:type="pct"/>
            <w:vMerge w:val="continue"/>
            <w:vAlign w:val="center"/>
          </w:tcPr>
          <w:p w14:paraId="7BA3FDD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tc>
        <w:tc>
          <w:tcPr>
            <w:tcW w:w="488" w:type="pct"/>
            <w:vAlign w:val="center"/>
          </w:tcPr>
          <w:p w14:paraId="4F09E78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4-1-2</w:t>
            </w:r>
          </w:p>
          <w:p w14:paraId="736D244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实验课程内容设计的合理性、科学性、先进性[注7]</w:t>
            </w:r>
          </w:p>
        </w:tc>
        <w:tc>
          <w:tcPr>
            <w:tcW w:w="258" w:type="pct"/>
            <w:vAlign w:val="center"/>
          </w:tcPr>
          <w:p w14:paraId="736D31D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3</w:t>
            </w:r>
          </w:p>
        </w:tc>
        <w:tc>
          <w:tcPr>
            <w:tcW w:w="1445" w:type="pct"/>
            <w:vAlign w:val="center"/>
          </w:tcPr>
          <w:p w14:paraId="0130795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实验课程内容（含独立设置实验课）的技术性、综合性的关系处理得当；综合性、设计性实验内容满足教学大纲要求。</w:t>
            </w:r>
          </w:p>
        </w:tc>
        <w:tc>
          <w:tcPr>
            <w:tcW w:w="1366" w:type="pct"/>
            <w:vAlign w:val="center"/>
          </w:tcPr>
          <w:p w14:paraId="7501AE88">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实验课程内容（含独立设置的实验课）设计基本合理；设有综合性、设计性实验内容。</w:t>
            </w:r>
          </w:p>
        </w:tc>
        <w:tc>
          <w:tcPr>
            <w:tcW w:w="617" w:type="pct"/>
            <w:vAlign w:val="center"/>
          </w:tcPr>
          <w:p w14:paraId="76B9EEE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3E5C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418" w:type="pct"/>
            <w:vMerge w:val="continue"/>
            <w:vAlign w:val="center"/>
          </w:tcPr>
          <w:p w14:paraId="55538E5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tc>
        <w:tc>
          <w:tcPr>
            <w:tcW w:w="406" w:type="pct"/>
            <w:vMerge w:val="restart"/>
            <w:vAlign w:val="center"/>
          </w:tcPr>
          <w:p w14:paraId="40A99E1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4-2</w:t>
            </w:r>
          </w:p>
          <w:p w14:paraId="02CF24C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教学内容组织</w:t>
            </w:r>
          </w:p>
          <w:p w14:paraId="7EE87B8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（8分）</w:t>
            </w:r>
          </w:p>
          <w:p w14:paraId="1A6FADB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tc>
        <w:tc>
          <w:tcPr>
            <w:tcW w:w="488" w:type="pct"/>
            <w:vAlign w:val="center"/>
          </w:tcPr>
          <w:p w14:paraId="2853B43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4-2-1</w:t>
            </w:r>
          </w:p>
          <w:p w14:paraId="4C0B586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教学内容的安排</w:t>
            </w:r>
          </w:p>
        </w:tc>
        <w:tc>
          <w:tcPr>
            <w:tcW w:w="258" w:type="pct"/>
            <w:vAlign w:val="center"/>
          </w:tcPr>
          <w:p w14:paraId="4D011C6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5</w:t>
            </w:r>
          </w:p>
        </w:tc>
        <w:tc>
          <w:tcPr>
            <w:tcW w:w="1445" w:type="pct"/>
            <w:vAlign w:val="center"/>
          </w:tcPr>
          <w:p w14:paraId="49DA457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理论联系实际，融知识传授、能力培养、素质教育于一体；课内课外结合好，有效开展相关实习、社会调查及其他实践活动；教学大纲、教学进度、教学内容相一致。</w:t>
            </w:r>
          </w:p>
        </w:tc>
        <w:tc>
          <w:tcPr>
            <w:tcW w:w="1366" w:type="pct"/>
            <w:vAlign w:val="center"/>
          </w:tcPr>
          <w:p w14:paraId="25CBB5B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注重课内课外结合，基本能开展相关实习、社会调查及其他实践活动；教学大纲、教学进度、教学内容基本一致。</w:t>
            </w:r>
          </w:p>
        </w:tc>
        <w:tc>
          <w:tcPr>
            <w:tcW w:w="617" w:type="pct"/>
            <w:vAlign w:val="center"/>
          </w:tcPr>
          <w:p w14:paraId="4AEDEDB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7BD0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418" w:type="pct"/>
            <w:vMerge w:val="continue"/>
            <w:vAlign w:val="center"/>
          </w:tcPr>
          <w:p w14:paraId="1F53CB6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p>
        </w:tc>
        <w:tc>
          <w:tcPr>
            <w:tcW w:w="406" w:type="pct"/>
            <w:vMerge w:val="continue"/>
            <w:vAlign w:val="center"/>
          </w:tcPr>
          <w:p w14:paraId="6129197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tc>
        <w:tc>
          <w:tcPr>
            <w:tcW w:w="488" w:type="pct"/>
            <w:vAlign w:val="center"/>
          </w:tcPr>
          <w:p w14:paraId="799E84E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4-2-2</w:t>
            </w:r>
          </w:p>
          <w:p w14:paraId="5020949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实践教学内容[注8]</w:t>
            </w:r>
          </w:p>
        </w:tc>
        <w:tc>
          <w:tcPr>
            <w:tcW w:w="258" w:type="pct"/>
            <w:vAlign w:val="center"/>
          </w:tcPr>
          <w:p w14:paraId="66E9071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3</w:t>
            </w:r>
          </w:p>
        </w:tc>
        <w:tc>
          <w:tcPr>
            <w:tcW w:w="1445" w:type="pct"/>
            <w:vAlign w:val="center"/>
          </w:tcPr>
          <w:p w14:paraId="003AAB7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设计出的各类实践教学活动能很好地满足人才培养要求；实践教学在培养学生发现问题、分析问题和解决问题的能力方面有显著成效。</w:t>
            </w:r>
          </w:p>
        </w:tc>
        <w:tc>
          <w:tcPr>
            <w:tcW w:w="1366" w:type="pct"/>
            <w:vAlign w:val="center"/>
          </w:tcPr>
          <w:p w14:paraId="76E698A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设计出的各类实践教学活动基本满足人才培养要求</w:t>
            </w:r>
          </w:p>
        </w:tc>
        <w:tc>
          <w:tcPr>
            <w:tcW w:w="617" w:type="pct"/>
            <w:vAlign w:val="center"/>
          </w:tcPr>
          <w:p w14:paraId="0A4AA91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05E0A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418" w:type="pct"/>
            <w:vMerge w:val="continue"/>
            <w:vAlign w:val="center"/>
          </w:tcPr>
          <w:p w14:paraId="36A671F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tc>
        <w:tc>
          <w:tcPr>
            <w:tcW w:w="406" w:type="pct"/>
            <w:vMerge w:val="restart"/>
            <w:vAlign w:val="center"/>
          </w:tcPr>
          <w:p w14:paraId="26B6312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4-3</w:t>
            </w:r>
          </w:p>
          <w:p w14:paraId="2327D18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教学设计（6分）</w:t>
            </w:r>
          </w:p>
        </w:tc>
        <w:tc>
          <w:tcPr>
            <w:tcW w:w="488" w:type="pct"/>
            <w:vAlign w:val="center"/>
          </w:tcPr>
          <w:p w14:paraId="319AB07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4-3-1</w:t>
            </w:r>
          </w:p>
          <w:p w14:paraId="093B0D3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教学理念与教学设计</w:t>
            </w:r>
          </w:p>
        </w:tc>
        <w:tc>
          <w:tcPr>
            <w:tcW w:w="258" w:type="pct"/>
            <w:vAlign w:val="center"/>
          </w:tcPr>
          <w:p w14:paraId="2A428C8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3</w:t>
            </w:r>
          </w:p>
        </w:tc>
        <w:tc>
          <w:tcPr>
            <w:tcW w:w="1445" w:type="pct"/>
            <w:vAlign w:val="center"/>
          </w:tcPr>
          <w:p w14:paraId="047A601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重视探究性学习、研究性学习、协作学习，充分体现以学生为本的教育理念；能够根据课程目标、内容和学生特点，进行有效、高效的教学设计。</w:t>
            </w:r>
          </w:p>
        </w:tc>
        <w:tc>
          <w:tcPr>
            <w:tcW w:w="1366" w:type="pct"/>
            <w:vAlign w:val="center"/>
          </w:tcPr>
          <w:p w14:paraId="4E5DD638">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能够根据课程内容和学生特征，进行教学设计，基本体现以学生为本的教育理念。</w:t>
            </w:r>
          </w:p>
        </w:tc>
        <w:tc>
          <w:tcPr>
            <w:tcW w:w="617" w:type="pct"/>
            <w:vAlign w:val="center"/>
          </w:tcPr>
          <w:p w14:paraId="75AED01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7287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7" w:hRule="atLeast"/>
          <w:jc w:val="center"/>
        </w:trPr>
        <w:tc>
          <w:tcPr>
            <w:tcW w:w="418" w:type="pct"/>
            <w:vMerge w:val="continue"/>
            <w:vAlign w:val="center"/>
          </w:tcPr>
          <w:p w14:paraId="28FE2418">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p>
        </w:tc>
        <w:tc>
          <w:tcPr>
            <w:tcW w:w="406" w:type="pct"/>
            <w:vMerge w:val="continue"/>
            <w:vAlign w:val="center"/>
          </w:tcPr>
          <w:p w14:paraId="4A27DD9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p>
        </w:tc>
        <w:tc>
          <w:tcPr>
            <w:tcW w:w="488" w:type="pct"/>
            <w:vAlign w:val="center"/>
          </w:tcPr>
          <w:p w14:paraId="7CDAB2B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4-3-2</w:t>
            </w:r>
          </w:p>
          <w:p w14:paraId="613937E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教学评价</w:t>
            </w:r>
          </w:p>
          <w:p w14:paraId="547EE28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设计</w:t>
            </w:r>
          </w:p>
        </w:tc>
        <w:tc>
          <w:tcPr>
            <w:tcW w:w="258" w:type="pct"/>
            <w:vAlign w:val="center"/>
          </w:tcPr>
          <w:p w14:paraId="6B5191C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3</w:t>
            </w:r>
          </w:p>
        </w:tc>
        <w:tc>
          <w:tcPr>
            <w:tcW w:w="1445" w:type="pct"/>
            <w:vAlign w:val="center"/>
          </w:tcPr>
          <w:p w14:paraId="739AFC0C">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积极进行考核方法改革，并根据课程性质和学生特点采取恰当的考核方式，能客观地评价、检查学生的学习质量与效果；注重对学生运用知识分析、解决问题能力的考察，考核试题命题质量高。</w:t>
            </w:r>
          </w:p>
        </w:tc>
        <w:tc>
          <w:tcPr>
            <w:tcW w:w="1366" w:type="pct"/>
            <w:vAlign w:val="center"/>
          </w:tcPr>
          <w:p w14:paraId="25C28D2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尝试考核方法改革；考核试题命题质量基本符合要求。</w:t>
            </w:r>
          </w:p>
        </w:tc>
        <w:tc>
          <w:tcPr>
            <w:tcW w:w="617" w:type="pct"/>
            <w:vAlign w:val="center"/>
          </w:tcPr>
          <w:p w14:paraId="1A3EB4F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6DE0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9" w:hRule="atLeast"/>
          <w:jc w:val="center"/>
        </w:trPr>
        <w:tc>
          <w:tcPr>
            <w:tcW w:w="418" w:type="pct"/>
            <w:vMerge w:val="continue"/>
            <w:vAlign w:val="center"/>
          </w:tcPr>
          <w:p w14:paraId="7B8CBD3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p>
        </w:tc>
        <w:tc>
          <w:tcPr>
            <w:tcW w:w="406" w:type="pct"/>
            <w:vAlign w:val="center"/>
          </w:tcPr>
          <w:p w14:paraId="166762E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4-4</w:t>
            </w:r>
          </w:p>
          <w:p w14:paraId="57AE8C6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教学方法</w:t>
            </w:r>
          </w:p>
          <w:p w14:paraId="4207AFA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（2分）</w:t>
            </w:r>
          </w:p>
        </w:tc>
        <w:tc>
          <w:tcPr>
            <w:tcW w:w="488" w:type="pct"/>
            <w:vAlign w:val="center"/>
          </w:tcPr>
          <w:p w14:paraId="6A58107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4-4-1</w:t>
            </w:r>
          </w:p>
          <w:p w14:paraId="04FDAE3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多种教学方法的使用及其效果</w:t>
            </w:r>
          </w:p>
        </w:tc>
        <w:tc>
          <w:tcPr>
            <w:tcW w:w="258" w:type="pct"/>
            <w:vAlign w:val="center"/>
          </w:tcPr>
          <w:p w14:paraId="4FC8407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2</w:t>
            </w:r>
          </w:p>
        </w:tc>
        <w:tc>
          <w:tcPr>
            <w:tcW w:w="1445" w:type="pct"/>
            <w:vAlign w:val="center"/>
          </w:tcPr>
          <w:p w14:paraId="16A57F8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积极实施教学方法改革；能灵活运用多种恰当的教学方法，有效调动学生学习积极性，促进学生学习能力发展。</w:t>
            </w:r>
          </w:p>
        </w:tc>
        <w:tc>
          <w:tcPr>
            <w:tcW w:w="1366" w:type="pct"/>
            <w:vAlign w:val="center"/>
          </w:tcPr>
          <w:p w14:paraId="7854A3E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尝试运用多种教学方法，调动学生积极参与学习，促进学生积极思考。</w:t>
            </w:r>
          </w:p>
        </w:tc>
        <w:tc>
          <w:tcPr>
            <w:tcW w:w="617" w:type="pct"/>
            <w:vAlign w:val="center"/>
          </w:tcPr>
          <w:p w14:paraId="7471124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1158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jc w:val="center"/>
        </w:trPr>
        <w:tc>
          <w:tcPr>
            <w:tcW w:w="418" w:type="pct"/>
            <w:vMerge w:val="continue"/>
            <w:tcBorders>
              <w:bottom w:val="single" w:color="auto" w:sz="4" w:space="0"/>
            </w:tcBorders>
            <w:vAlign w:val="center"/>
          </w:tcPr>
          <w:p w14:paraId="7CA063D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p>
        </w:tc>
        <w:tc>
          <w:tcPr>
            <w:tcW w:w="406" w:type="pct"/>
            <w:tcBorders>
              <w:bottom w:val="single" w:color="auto" w:sz="4" w:space="0"/>
            </w:tcBorders>
            <w:vAlign w:val="center"/>
          </w:tcPr>
          <w:p w14:paraId="685D83E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4-5</w:t>
            </w:r>
          </w:p>
          <w:p w14:paraId="61A3EDD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教学手段</w:t>
            </w:r>
          </w:p>
          <w:p w14:paraId="3D2049E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（1分）</w:t>
            </w:r>
          </w:p>
        </w:tc>
        <w:tc>
          <w:tcPr>
            <w:tcW w:w="488" w:type="pct"/>
            <w:tcBorders>
              <w:bottom w:val="single" w:color="auto" w:sz="4" w:space="0"/>
            </w:tcBorders>
            <w:vAlign w:val="center"/>
          </w:tcPr>
          <w:p w14:paraId="0FC0DB8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4-5-1</w:t>
            </w:r>
          </w:p>
          <w:p w14:paraId="1BB347F7">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现代教育技术应用</w:t>
            </w:r>
          </w:p>
        </w:tc>
        <w:tc>
          <w:tcPr>
            <w:tcW w:w="258" w:type="pct"/>
            <w:tcBorders>
              <w:bottom w:val="single" w:color="auto" w:sz="4" w:space="0"/>
            </w:tcBorders>
            <w:vAlign w:val="center"/>
          </w:tcPr>
          <w:p w14:paraId="1586328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1</w:t>
            </w:r>
          </w:p>
        </w:tc>
        <w:tc>
          <w:tcPr>
            <w:tcW w:w="1445" w:type="pct"/>
            <w:tcBorders>
              <w:bottom w:val="single" w:color="auto" w:sz="4" w:space="0"/>
            </w:tcBorders>
            <w:vAlign w:val="center"/>
          </w:tcPr>
          <w:p w14:paraId="017D23E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恰当充分地使用现代教育技术手段，师生互动好；多媒体课件质量高，课堂教学效果好，在课件评比中获奖。</w:t>
            </w:r>
          </w:p>
        </w:tc>
        <w:tc>
          <w:tcPr>
            <w:tcW w:w="1366" w:type="pct"/>
            <w:tcBorders>
              <w:bottom w:val="single" w:color="auto" w:sz="4" w:space="0"/>
            </w:tcBorders>
            <w:vAlign w:val="center"/>
          </w:tcPr>
          <w:p w14:paraId="62ED21A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有效使用现代教育技术手段，顺利完成教学任务；课件基本符合要求。</w:t>
            </w:r>
          </w:p>
        </w:tc>
        <w:tc>
          <w:tcPr>
            <w:tcW w:w="617" w:type="pct"/>
            <w:tcBorders>
              <w:bottom w:val="single" w:color="auto" w:sz="4" w:space="0"/>
            </w:tcBorders>
            <w:vAlign w:val="center"/>
          </w:tcPr>
          <w:p w14:paraId="4AD4069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7529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74" w:hRule="atLeast"/>
          <w:jc w:val="center"/>
        </w:trPr>
        <w:tc>
          <w:tcPr>
            <w:tcW w:w="418" w:type="pct"/>
            <w:vMerge w:val="restart"/>
            <w:vAlign w:val="center"/>
          </w:tcPr>
          <w:p w14:paraId="5F84BE6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r>
              <w:rPr>
                <w:rFonts w:hint="eastAsia" w:ascii="仿宋_GB2312" w:hAnsi="仿宋_GB2312" w:eastAsia="仿宋_GB2312" w:cs="仿宋_GB2312"/>
                <w:b/>
                <w:snapToGrid/>
                <w:sz w:val="24"/>
                <w:szCs w:val="24"/>
              </w:rPr>
              <w:t>5.</w:t>
            </w:r>
          </w:p>
          <w:p w14:paraId="4F4A611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r>
              <w:rPr>
                <w:rFonts w:hint="eastAsia" w:ascii="仿宋_GB2312" w:hAnsi="仿宋_GB2312" w:eastAsia="仿宋_GB2312" w:cs="仿宋_GB2312"/>
                <w:b/>
                <w:snapToGrid/>
                <w:sz w:val="24"/>
                <w:szCs w:val="24"/>
              </w:rPr>
              <w:t>课程考核（14分）</w:t>
            </w:r>
          </w:p>
        </w:tc>
        <w:tc>
          <w:tcPr>
            <w:tcW w:w="406" w:type="pct"/>
            <w:vAlign w:val="center"/>
          </w:tcPr>
          <w:p w14:paraId="370D100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5-1</w:t>
            </w:r>
          </w:p>
          <w:p w14:paraId="52456E6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考核内容</w:t>
            </w:r>
          </w:p>
          <w:p w14:paraId="7EEF34B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（6分）</w:t>
            </w:r>
          </w:p>
        </w:tc>
        <w:tc>
          <w:tcPr>
            <w:tcW w:w="488" w:type="pct"/>
            <w:vAlign w:val="center"/>
          </w:tcPr>
          <w:p w14:paraId="3664ADE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5-1-1</w:t>
            </w:r>
          </w:p>
          <w:p w14:paraId="108846F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考核内容</w:t>
            </w:r>
          </w:p>
        </w:tc>
        <w:tc>
          <w:tcPr>
            <w:tcW w:w="258" w:type="pct"/>
            <w:vAlign w:val="center"/>
          </w:tcPr>
          <w:p w14:paraId="70478D4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6</w:t>
            </w:r>
          </w:p>
        </w:tc>
        <w:tc>
          <w:tcPr>
            <w:tcW w:w="1445" w:type="pct"/>
            <w:vAlign w:val="center"/>
          </w:tcPr>
          <w:p w14:paraId="67AA0BC8">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依据课程目标、特性、类型，积极推进考试方法改革，实现考核过程化、形式多元化，有一套完整、有效调动学生学习知识的主动性的考核办法；过程的考核与学习效果的考核并重；平时作业、测验、实验等均严格要求，严格管理。</w:t>
            </w:r>
          </w:p>
        </w:tc>
        <w:tc>
          <w:tcPr>
            <w:tcW w:w="1366" w:type="pct"/>
            <w:vAlign w:val="center"/>
          </w:tcPr>
          <w:p w14:paraId="79490D6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考核办法基本规范。</w:t>
            </w:r>
          </w:p>
          <w:p w14:paraId="409E91E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p>
        </w:tc>
        <w:tc>
          <w:tcPr>
            <w:tcW w:w="617" w:type="pct"/>
            <w:vAlign w:val="center"/>
          </w:tcPr>
          <w:p w14:paraId="577B8817">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60CB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9" w:hRule="atLeast"/>
          <w:jc w:val="center"/>
        </w:trPr>
        <w:tc>
          <w:tcPr>
            <w:tcW w:w="418" w:type="pct"/>
            <w:vMerge w:val="continue"/>
            <w:vAlign w:val="center"/>
          </w:tcPr>
          <w:p w14:paraId="7A3B012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b/>
                <w:snapToGrid/>
                <w:sz w:val="24"/>
                <w:szCs w:val="24"/>
              </w:rPr>
            </w:pPr>
          </w:p>
        </w:tc>
        <w:tc>
          <w:tcPr>
            <w:tcW w:w="406" w:type="pct"/>
            <w:vAlign w:val="center"/>
          </w:tcPr>
          <w:p w14:paraId="037157F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5-2</w:t>
            </w:r>
          </w:p>
          <w:p w14:paraId="288431E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考核方式与成绩</w:t>
            </w:r>
          </w:p>
          <w:p w14:paraId="51F2B43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评定</w:t>
            </w:r>
          </w:p>
          <w:p w14:paraId="6F6F59F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（8分）</w:t>
            </w:r>
          </w:p>
        </w:tc>
        <w:tc>
          <w:tcPr>
            <w:tcW w:w="488" w:type="pct"/>
            <w:vAlign w:val="center"/>
          </w:tcPr>
          <w:p w14:paraId="2355063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5-2-1</w:t>
            </w:r>
          </w:p>
          <w:p w14:paraId="2ABE4F9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考核方式与成绩评定</w:t>
            </w:r>
          </w:p>
        </w:tc>
        <w:tc>
          <w:tcPr>
            <w:tcW w:w="258" w:type="pct"/>
            <w:vAlign w:val="center"/>
          </w:tcPr>
          <w:p w14:paraId="4AE9EF5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8</w:t>
            </w:r>
          </w:p>
        </w:tc>
        <w:tc>
          <w:tcPr>
            <w:tcW w:w="1445" w:type="pct"/>
            <w:vAlign w:val="center"/>
          </w:tcPr>
          <w:p w14:paraId="62556C7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有统一命题、统一标准、统一阅卷的实施方案；考核方式与成绩评定符合课程教学大纲要求，能注重考查学生能力，尤其是解决复杂问题的能力；有试卷分析或总结，平均分、题量、分数、难度等指标进行定量定性分析，反馈教学效果；考试组织严密，试题差错少，无泄露考题等责任事故发生，考场纪律严明。</w:t>
            </w:r>
          </w:p>
        </w:tc>
        <w:tc>
          <w:tcPr>
            <w:tcW w:w="1366" w:type="pct"/>
            <w:vAlign w:val="center"/>
          </w:tcPr>
          <w:p w14:paraId="05EE16C2">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考核方式与成绩评定基本符合教学大纲要求；无命题失误导致考试成绩严重异常；在考试管理、组织及评卷等工作中无重大教学事故发生。</w:t>
            </w:r>
          </w:p>
        </w:tc>
        <w:tc>
          <w:tcPr>
            <w:tcW w:w="617" w:type="pct"/>
            <w:vAlign w:val="center"/>
          </w:tcPr>
          <w:p w14:paraId="0E56433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15A2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jc w:val="center"/>
        </w:trPr>
        <w:tc>
          <w:tcPr>
            <w:tcW w:w="418" w:type="pct"/>
            <w:vAlign w:val="center"/>
          </w:tcPr>
          <w:p w14:paraId="06AA7A8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r>
              <w:rPr>
                <w:rFonts w:hint="eastAsia" w:ascii="仿宋_GB2312" w:hAnsi="仿宋_GB2312" w:eastAsia="仿宋_GB2312" w:cs="仿宋_GB2312"/>
                <w:b/>
                <w:snapToGrid/>
                <w:sz w:val="24"/>
                <w:szCs w:val="24"/>
              </w:rPr>
              <w:t>6.</w:t>
            </w:r>
          </w:p>
          <w:p w14:paraId="039FF44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r>
              <w:rPr>
                <w:rFonts w:hint="eastAsia" w:ascii="仿宋_GB2312" w:hAnsi="仿宋_GB2312" w:eastAsia="仿宋_GB2312" w:cs="仿宋_GB2312"/>
                <w:b/>
                <w:snapToGrid/>
                <w:sz w:val="24"/>
                <w:szCs w:val="24"/>
              </w:rPr>
              <w:t>教学效果</w:t>
            </w:r>
          </w:p>
          <w:p w14:paraId="75DD19A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b/>
                <w:snapToGrid/>
                <w:sz w:val="24"/>
                <w:szCs w:val="24"/>
              </w:rPr>
              <w:t>（6分）</w:t>
            </w:r>
          </w:p>
        </w:tc>
        <w:tc>
          <w:tcPr>
            <w:tcW w:w="406" w:type="pct"/>
            <w:vAlign w:val="center"/>
          </w:tcPr>
          <w:p w14:paraId="750307E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6-1</w:t>
            </w:r>
          </w:p>
          <w:p w14:paraId="5013D2B3">
            <w:pPr>
              <w:keepNext w:val="0"/>
              <w:keepLines w:val="0"/>
              <w:pageBreakBefore w:val="0"/>
              <w:widowControl w:val="0"/>
              <w:kinsoku/>
              <w:wordWrap/>
              <w:overflowPunct/>
              <w:topLinePunct w:val="0"/>
              <w:autoSpaceDE/>
              <w:autoSpaceDN/>
              <w:bidi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教学效果（6分）</w:t>
            </w:r>
          </w:p>
        </w:tc>
        <w:tc>
          <w:tcPr>
            <w:tcW w:w="488" w:type="pct"/>
            <w:vAlign w:val="center"/>
          </w:tcPr>
          <w:p w14:paraId="4355320C">
            <w:pPr>
              <w:keepNext w:val="0"/>
              <w:keepLines w:val="0"/>
              <w:pageBreakBefore w:val="0"/>
              <w:widowControl w:val="0"/>
              <w:kinsoku/>
              <w:wordWrap/>
              <w:overflowPunct/>
              <w:topLinePunct w:val="0"/>
              <w:autoSpaceDE/>
              <w:autoSpaceDN/>
              <w:bidi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6-1-1</w:t>
            </w:r>
          </w:p>
          <w:p w14:paraId="7156BB4F">
            <w:pPr>
              <w:keepNext w:val="0"/>
              <w:keepLines w:val="0"/>
              <w:pageBreakBefore w:val="0"/>
              <w:widowControl w:val="0"/>
              <w:kinsoku/>
              <w:wordWrap/>
              <w:overflowPunct/>
              <w:topLinePunct w:val="0"/>
              <w:autoSpaceDE/>
              <w:autoSpaceDN/>
              <w:bidi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教学效果</w:t>
            </w:r>
          </w:p>
        </w:tc>
        <w:tc>
          <w:tcPr>
            <w:tcW w:w="258" w:type="pct"/>
            <w:vAlign w:val="center"/>
          </w:tcPr>
          <w:p w14:paraId="55076C9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6</w:t>
            </w:r>
          </w:p>
        </w:tc>
        <w:tc>
          <w:tcPr>
            <w:tcW w:w="1445" w:type="pct"/>
            <w:vAlign w:val="center"/>
          </w:tcPr>
          <w:p w14:paraId="03DAFC2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教学团队在学生中有良好声誉；近三年主讲教师的教学质量评价得分均值≥90分。</w:t>
            </w:r>
          </w:p>
        </w:tc>
        <w:tc>
          <w:tcPr>
            <w:tcW w:w="1366" w:type="pct"/>
            <w:vAlign w:val="center"/>
          </w:tcPr>
          <w:p w14:paraId="75DBBCB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近三年主讲教师的教学质量评价得分均值≥80分。</w:t>
            </w:r>
          </w:p>
        </w:tc>
        <w:tc>
          <w:tcPr>
            <w:tcW w:w="617" w:type="pct"/>
            <w:vAlign w:val="center"/>
          </w:tcPr>
          <w:p w14:paraId="33D51C0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bCs/>
                <w:snapToGrid/>
                <w:sz w:val="24"/>
                <w:szCs w:val="24"/>
              </w:rPr>
            </w:pPr>
          </w:p>
        </w:tc>
      </w:tr>
      <w:tr w14:paraId="7236B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418" w:type="pct"/>
            <w:vAlign w:val="center"/>
          </w:tcPr>
          <w:p w14:paraId="33ADB58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r>
              <w:rPr>
                <w:rFonts w:hint="eastAsia" w:ascii="仿宋_GB2312" w:hAnsi="仿宋_GB2312" w:eastAsia="仿宋_GB2312" w:cs="仿宋_GB2312"/>
                <w:b/>
                <w:snapToGrid/>
                <w:sz w:val="24"/>
                <w:szCs w:val="24"/>
              </w:rPr>
              <w:t>7.</w:t>
            </w:r>
          </w:p>
          <w:p w14:paraId="605AE8C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
                <w:snapToGrid/>
                <w:sz w:val="24"/>
                <w:szCs w:val="24"/>
              </w:rPr>
            </w:pPr>
            <w:r>
              <w:rPr>
                <w:rFonts w:hint="eastAsia" w:ascii="仿宋_GB2312" w:hAnsi="仿宋_GB2312" w:eastAsia="仿宋_GB2312" w:cs="仿宋_GB2312"/>
                <w:b/>
                <w:snapToGrid/>
                <w:sz w:val="24"/>
                <w:szCs w:val="24"/>
              </w:rPr>
              <w:t>课程特色（10分）</w:t>
            </w:r>
          </w:p>
        </w:tc>
        <w:tc>
          <w:tcPr>
            <w:tcW w:w="406" w:type="pct"/>
            <w:vAlign w:val="center"/>
          </w:tcPr>
          <w:p w14:paraId="4775664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7-1</w:t>
            </w:r>
          </w:p>
          <w:p w14:paraId="268B756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教学特色</w:t>
            </w:r>
            <w:r>
              <w:rPr>
                <w:rFonts w:hint="eastAsia" w:ascii="仿宋_GB2312" w:hAnsi="仿宋_GB2312" w:eastAsia="仿宋_GB2312" w:cs="仿宋_GB2312"/>
                <w:bCs/>
                <w:snapToGrid/>
                <w:sz w:val="24"/>
                <w:szCs w:val="24"/>
              </w:rPr>
              <w:t>[注9]</w:t>
            </w:r>
          </w:p>
        </w:tc>
        <w:tc>
          <w:tcPr>
            <w:tcW w:w="488" w:type="pct"/>
            <w:vAlign w:val="center"/>
          </w:tcPr>
          <w:p w14:paraId="52AB9F5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7-1-1</w:t>
            </w:r>
          </w:p>
          <w:p w14:paraId="75290B1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教学特色</w:t>
            </w:r>
          </w:p>
        </w:tc>
        <w:tc>
          <w:tcPr>
            <w:tcW w:w="258" w:type="pct"/>
            <w:vAlign w:val="center"/>
          </w:tcPr>
          <w:p w14:paraId="31C6A30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10</w:t>
            </w:r>
          </w:p>
        </w:tc>
        <w:tc>
          <w:tcPr>
            <w:tcW w:w="2811" w:type="pct"/>
            <w:gridSpan w:val="2"/>
            <w:vAlign w:val="center"/>
          </w:tcPr>
          <w:p w14:paraId="7D2FF9C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在深化教学改革提高教学质量方面取得具有示范性的成果，在校内或者同类院校中有一定的影响。</w:t>
            </w:r>
          </w:p>
        </w:tc>
        <w:tc>
          <w:tcPr>
            <w:tcW w:w="617" w:type="pct"/>
            <w:vAlign w:val="center"/>
          </w:tcPr>
          <w:p w14:paraId="3E23914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仿宋_GB2312" w:hAnsi="仿宋_GB2312" w:eastAsia="仿宋_GB2312" w:cs="仿宋_GB2312"/>
                <w:bCs/>
                <w:snapToGrid/>
                <w:sz w:val="24"/>
                <w:szCs w:val="24"/>
              </w:rPr>
            </w:pPr>
          </w:p>
        </w:tc>
      </w:tr>
    </w:tbl>
    <w:p w14:paraId="06B02C92">
      <w:pPr>
        <w:keepNext w:val="0"/>
        <w:keepLines w:val="0"/>
        <w:pageBreakBefore w:val="0"/>
        <w:widowControl w:val="0"/>
        <w:kinsoku/>
        <w:wordWrap/>
        <w:overflowPunct/>
        <w:topLinePunct w:val="0"/>
        <w:autoSpaceDE/>
        <w:autoSpaceDN/>
        <w:bidi w:val="0"/>
        <w:adjustRightInd w:val="0"/>
        <w:snapToGrid w:val="0"/>
        <w:spacing w:line="320" w:lineRule="exact"/>
        <w:ind w:firstLine="472" w:firstLineChars="200"/>
        <w:textAlignment w:val="auto"/>
        <w:rPr>
          <w:rFonts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[注1]教师界定为近三年承担过该课程教学任务的在岗教师。</w:t>
      </w:r>
    </w:p>
    <w:p w14:paraId="7963543C">
      <w:pPr>
        <w:keepNext w:val="0"/>
        <w:keepLines w:val="0"/>
        <w:pageBreakBefore w:val="0"/>
        <w:widowControl w:val="0"/>
        <w:kinsoku/>
        <w:wordWrap/>
        <w:overflowPunct/>
        <w:topLinePunct w:val="0"/>
        <w:autoSpaceDE/>
        <w:autoSpaceDN/>
        <w:bidi w:val="0"/>
        <w:adjustRightInd w:val="0"/>
        <w:snapToGrid w:val="0"/>
        <w:spacing w:line="320" w:lineRule="exact"/>
        <w:ind w:firstLine="472" w:firstLineChars="200"/>
        <w:textAlignment w:val="auto"/>
        <w:rPr>
          <w:rFonts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[注2]近三年未承担过该课程教学任务的教师不能成为该课程负责人。</w:t>
      </w:r>
    </w:p>
    <w:p w14:paraId="2A54CA8C">
      <w:pPr>
        <w:keepNext w:val="0"/>
        <w:keepLines w:val="0"/>
        <w:pageBreakBefore w:val="0"/>
        <w:widowControl w:val="0"/>
        <w:kinsoku/>
        <w:wordWrap/>
        <w:overflowPunct/>
        <w:topLinePunct w:val="0"/>
        <w:autoSpaceDE/>
        <w:autoSpaceDN/>
        <w:bidi w:val="0"/>
        <w:adjustRightInd w:val="0"/>
        <w:snapToGrid w:val="0"/>
        <w:spacing w:line="320" w:lineRule="exact"/>
        <w:ind w:firstLine="472" w:firstLineChars="200"/>
        <w:textAlignment w:val="auto"/>
        <w:rPr>
          <w:rFonts w:ascii="仿宋_GB2312" w:hAnsi="仿宋_GB2312" w:eastAsia="仿宋_GB2312" w:cs="仿宋_GB2312"/>
          <w:snapToGrid/>
          <w:spacing w:val="-11"/>
          <w:sz w:val="24"/>
          <w:szCs w:val="24"/>
        </w:rPr>
      </w:pPr>
      <w:r>
        <w:rPr>
          <w:rFonts w:hint="eastAsia" w:ascii="仿宋_GB2312" w:hAnsi="仿宋_GB2312" w:eastAsia="仿宋_GB2312" w:cs="仿宋_GB2312"/>
          <w:snapToGrid/>
          <w:sz w:val="24"/>
          <w:szCs w:val="24"/>
        </w:rPr>
        <w:t>[注3]具有岗位资格是</w:t>
      </w:r>
      <w:r>
        <w:rPr>
          <w:rFonts w:hint="eastAsia" w:ascii="仿宋_GB2312" w:hAnsi="仿宋_GB2312" w:eastAsia="仿宋_GB2312" w:cs="仿宋_GB2312"/>
          <w:snapToGrid/>
          <w:spacing w:val="-11"/>
          <w:sz w:val="24"/>
          <w:szCs w:val="24"/>
        </w:rPr>
        <w:t>指：具有讲师及以上职称，或具有硕士及以上学位且通过岗前培训并取得合格证的教师。</w:t>
      </w:r>
    </w:p>
    <w:p w14:paraId="440E37CD">
      <w:pPr>
        <w:keepNext w:val="0"/>
        <w:keepLines w:val="0"/>
        <w:pageBreakBefore w:val="0"/>
        <w:widowControl w:val="0"/>
        <w:kinsoku/>
        <w:wordWrap/>
        <w:overflowPunct/>
        <w:topLinePunct w:val="0"/>
        <w:autoSpaceDE/>
        <w:autoSpaceDN/>
        <w:bidi w:val="0"/>
        <w:adjustRightInd w:val="0"/>
        <w:snapToGrid w:val="0"/>
        <w:spacing w:line="320" w:lineRule="exact"/>
        <w:ind w:firstLine="472" w:firstLineChars="200"/>
        <w:textAlignment w:val="auto"/>
        <w:rPr>
          <w:rFonts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[注4]公开发表是指在有公开刊号的刊物上发表。</w:t>
      </w:r>
    </w:p>
    <w:p w14:paraId="2D834219">
      <w:pPr>
        <w:keepNext w:val="0"/>
        <w:keepLines w:val="0"/>
        <w:pageBreakBefore w:val="0"/>
        <w:widowControl w:val="0"/>
        <w:kinsoku/>
        <w:wordWrap/>
        <w:overflowPunct/>
        <w:topLinePunct w:val="0"/>
        <w:autoSpaceDE/>
        <w:autoSpaceDN/>
        <w:bidi w:val="0"/>
        <w:adjustRightInd w:val="0"/>
        <w:snapToGrid w:val="0"/>
        <w:spacing w:line="320" w:lineRule="exact"/>
        <w:ind w:firstLine="472" w:firstLineChars="200"/>
        <w:textAlignment w:val="auto"/>
        <w:rPr>
          <w:rFonts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[注5]高质量教材指获奖教材、专指委推荐教材、省（部）级规划教材等。</w:t>
      </w:r>
    </w:p>
    <w:p w14:paraId="76F69965">
      <w:pPr>
        <w:keepNext w:val="0"/>
        <w:keepLines w:val="0"/>
        <w:pageBreakBefore w:val="0"/>
        <w:widowControl w:val="0"/>
        <w:kinsoku/>
        <w:wordWrap/>
        <w:overflowPunct/>
        <w:topLinePunct w:val="0"/>
        <w:autoSpaceDE/>
        <w:autoSpaceDN/>
        <w:bidi w:val="0"/>
        <w:adjustRightInd w:val="0"/>
        <w:snapToGrid w:val="0"/>
        <w:spacing w:line="320" w:lineRule="exact"/>
        <w:ind w:firstLine="472" w:firstLineChars="200"/>
        <w:textAlignment w:val="auto"/>
        <w:rPr>
          <w:rFonts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[注6]实践性教学是指旨在将知识转化为技能的教学环节或形式，包括实验、实习、实训、作业、社会实践、课外研讨、社会调查等。</w:t>
      </w:r>
    </w:p>
    <w:p w14:paraId="179A1403">
      <w:pPr>
        <w:keepNext w:val="0"/>
        <w:keepLines w:val="0"/>
        <w:pageBreakBefore w:val="0"/>
        <w:widowControl w:val="0"/>
        <w:kinsoku/>
        <w:wordWrap/>
        <w:overflowPunct/>
        <w:topLinePunct w:val="0"/>
        <w:autoSpaceDE/>
        <w:autoSpaceDN/>
        <w:bidi w:val="0"/>
        <w:adjustRightInd w:val="0"/>
        <w:snapToGrid w:val="0"/>
        <w:spacing w:line="320" w:lineRule="exact"/>
        <w:ind w:firstLine="472" w:firstLineChars="200"/>
        <w:textAlignment w:val="auto"/>
        <w:rPr>
          <w:rFonts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[注7]没有实验的课</w:t>
      </w:r>
      <w:r>
        <w:rPr>
          <w:rFonts w:hint="eastAsia" w:ascii="仿宋_GB2312" w:hAnsi="仿宋_GB2312" w:eastAsia="仿宋_GB2312" w:cs="仿宋_GB2312"/>
          <w:snapToGrid/>
          <w:color w:val="000000" w:themeColor="text1"/>
          <w:sz w:val="24"/>
          <w:szCs w:val="24"/>
          <w14:textFill>
            <w14:solidFill>
              <w14:schemeClr w14:val="tx1"/>
            </w14:solidFill>
          </w14:textFill>
        </w:rPr>
        <w:t>程，4-1-1的分值调为8。无实践性教学内容的课程，4-2-1的分值调为8，3-1-1的分值调为9。</w:t>
      </w:r>
    </w:p>
    <w:p w14:paraId="6D9B1D3D">
      <w:pPr>
        <w:keepNext w:val="0"/>
        <w:keepLines w:val="0"/>
        <w:pageBreakBefore w:val="0"/>
        <w:widowControl w:val="0"/>
        <w:kinsoku/>
        <w:wordWrap/>
        <w:overflowPunct/>
        <w:topLinePunct w:val="0"/>
        <w:autoSpaceDE/>
        <w:autoSpaceDN/>
        <w:bidi w:val="0"/>
        <w:adjustRightInd w:val="0"/>
        <w:snapToGrid w:val="0"/>
        <w:spacing w:line="320" w:lineRule="exact"/>
        <w:ind w:firstLine="472" w:firstLineChars="200"/>
        <w:textAlignment w:val="auto"/>
        <w:rPr>
          <w:rFonts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[注8]综合性实验：实验内容涉及本课程的综合知识或与本课程相关的课程知识的实验。设计性实验：给定实验目的、要求、实验条件，由学生自行设计实验方案并加以实现的实验。</w:t>
      </w:r>
    </w:p>
    <w:p w14:paraId="08365B04">
      <w:pPr>
        <w:keepNext w:val="0"/>
        <w:keepLines w:val="0"/>
        <w:pageBreakBefore w:val="0"/>
        <w:widowControl w:val="0"/>
        <w:kinsoku/>
        <w:wordWrap/>
        <w:overflowPunct/>
        <w:topLinePunct w:val="0"/>
        <w:autoSpaceDE/>
        <w:autoSpaceDN/>
        <w:bidi w:val="0"/>
        <w:adjustRightInd w:val="0"/>
        <w:snapToGrid w:val="0"/>
        <w:spacing w:line="320" w:lineRule="exact"/>
        <w:ind w:firstLine="472" w:firstLineChars="200"/>
        <w:textAlignment w:val="auto"/>
        <w:rPr>
          <w:rFonts w:ascii="仿宋_GB2312" w:hAnsi="仿宋_GB2312" w:eastAsia="仿宋_GB2312" w:cs="仿宋_GB2312"/>
          <w:snapToGrid/>
          <w:sz w:val="24"/>
          <w:szCs w:val="24"/>
        </w:rPr>
      </w:pPr>
      <w:r>
        <w:rPr>
          <w:rFonts w:hint="eastAsia" w:ascii="仿宋_GB2312" w:hAnsi="仿宋_GB2312" w:eastAsia="仿宋_GB2312" w:cs="仿宋_GB2312"/>
          <w:snapToGrid/>
          <w:sz w:val="24"/>
          <w:szCs w:val="24"/>
        </w:rPr>
        <w:t>[注9]特色的标志：有区别于同类的特征；有高于同类的优势；有突出的实践效果；有高水平的成果；有应用、推广价值和示范作用。</w:t>
      </w:r>
    </w:p>
    <w:p w14:paraId="39B74127">
      <w:pPr>
        <w:keepNext w:val="0"/>
        <w:keepLines w:val="0"/>
        <w:pageBreakBefore w:val="0"/>
        <w:widowControl w:val="0"/>
        <w:kinsoku/>
        <w:wordWrap/>
        <w:overflowPunct/>
        <w:topLinePunct w:val="0"/>
        <w:autoSpaceDE/>
        <w:autoSpaceDN/>
        <w:bidi w:val="0"/>
        <w:adjustRightInd w:val="0"/>
        <w:snapToGrid w:val="0"/>
        <w:spacing w:line="320" w:lineRule="exact"/>
        <w:ind w:firstLine="472" w:firstLineChars="200"/>
        <w:textAlignment w:val="auto"/>
        <w:rPr>
          <w:rFonts w:ascii="仿宋_GB2312" w:hAnsi="仿宋_GB2312" w:eastAsia="仿宋_GB2312" w:cs="仿宋_GB2312"/>
          <w:snapToGrid/>
          <w:sz w:val="28"/>
          <w:szCs w:val="28"/>
        </w:rPr>
      </w:pPr>
      <w:r>
        <w:rPr>
          <w:rFonts w:hint="eastAsia" w:ascii="仿宋_GB2312" w:hAnsi="仿宋_GB2312" w:eastAsia="仿宋_GB2312" w:cs="仿宋_GB2312"/>
          <w:snapToGrid/>
          <w:sz w:val="24"/>
          <w:szCs w:val="24"/>
        </w:rPr>
        <w:t>[注10]除已注明时间节点的除外，涉及的材料及数据均以近3年为准。</w:t>
      </w:r>
    </w:p>
    <w:sectPr>
      <w:headerReference r:id="rId11" w:type="first"/>
      <w:footerReference r:id="rId14" w:type="first"/>
      <w:headerReference r:id="rId9" w:type="default"/>
      <w:footerReference r:id="rId12" w:type="default"/>
      <w:headerReference r:id="rId10" w:type="even"/>
      <w:footerReference r:id="rId13" w:type="even"/>
      <w:pgSz w:w="16838" w:h="11906" w:orient="landscape"/>
      <w:pgMar w:top="1588" w:right="2098" w:bottom="1474" w:left="1984" w:header="851" w:footer="1400" w:gutter="0"/>
      <w:pgNumType w:fmt="decimal"/>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3770C">
    <w:pPr>
      <w:pStyle w:val="7"/>
      <w:widowControl w:val="0"/>
      <w:autoSpaceDE/>
      <w:autoSpaceDN/>
      <w:adjustRightInd/>
      <w:snapToGrid/>
      <w:spacing w:beforeAutospacing="0" w:afterAutospacing="0" w:line="240" w:lineRule="auto"/>
      <w:ind w:left="0" w:leftChars="0" w:right="320" w:rightChars="100" w:firstLine="0" w:firstLineChars="0"/>
      <w:jc w:val="right"/>
      <w:outlineLvl w:val="9"/>
      <w:rPr>
        <w:rFonts w:hint="eastAsia" w:ascii="宋体" w:hAnsi="宋体" w:eastAsia="宋体" w:cs="宋体"/>
        <w:sz w:val="28"/>
        <w:lang w:eastAsia="zh-CN"/>
      </w:rPr>
    </w:pPr>
    <w:r>
      <w:rPr>
        <w:rFonts w:hint="eastAsia" w:ascii="宋体" w:hAnsi="宋体" w:cs="宋体"/>
        <w:sz w:val="28"/>
        <w:lang w:eastAsia="zh-CN"/>
      </w:rPr>
      <w:t xml:space="preserve">— </w:t>
    </w:r>
    <w:r>
      <w:rPr>
        <w:rFonts w:hint="eastAsia" w:ascii="宋体" w:hAnsi="宋体" w:cs="宋体"/>
        <w:sz w:val="28"/>
        <w:lang w:eastAsia="zh-CN"/>
      </w:rPr>
      <w:fldChar w:fldCharType="begin"/>
    </w:r>
    <w:r>
      <w:rPr>
        <w:rFonts w:hint="eastAsia" w:ascii="宋体" w:hAnsi="宋体" w:cs="宋体"/>
        <w:sz w:val="28"/>
        <w:lang w:eastAsia="zh-CN"/>
      </w:rPr>
      <w:instrText xml:space="preserve"> PAGE Page \* MERGEFORMAT </w:instrText>
    </w:r>
    <w:r>
      <w:rPr>
        <w:rFonts w:hint="eastAsia" w:ascii="宋体" w:hAnsi="宋体" w:cs="宋体"/>
        <w:sz w:val="28"/>
        <w:lang w:eastAsia="zh-CN"/>
      </w:rPr>
      <w:fldChar w:fldCharType="separate"/>
    </w:r>
    <w:r>
      <w:rPr>
        <w:rFonts w:hint="eastAsia" w:ascii="宋体" w:hAnsi="宋体" w:cs="宋体"/>
        <w:sz w:val="28"/>
        <w:lang w:eastAsia="zh-CN"/>
      </w:rPr>
      <w:t>1</w:t>
    </w:r>
    <w:r>
      <w:rPr>
        <w:rFonts w:hint="eastAsia" w:ascii="宋体" w:hAnsi="宋体" w:cs="宋体"/>
        <w:sz w:val="28"/>
        <w:lang w:eastAsia="zh-CN"/>
      </w:rPr>
      <w:fldChar w:fldCharType="end"/>
    </w:r>
    <w:r>
      <w:rPr>
        <w:rFonts w:hint="eastAsia" w:ascii="宋体" w:hAnsi="宋体" w:cs="宋体"/>
        <w:sz w:val="28"/>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3523F">
    <w:pPr>
      <w:pStyle w:val="7"/>
      <w:widowControl w:val="0"/>
      <w:autoSpaceDE/>
      <w:autoSpaceDN/>
      <w:adjustRightInd/>
      <w:snapToGrid/>
      <w:spacing w:beforeAutospacing="0" w:afterAutospacing="0" w:line="240" w:lineRule="auto"/>
      <w:ind w:left="320" w:leftChars="100" w:right="0" w:rightChars="0" w:firstLine="0" w:firstLineChars="0"/>
      <w:jc w:val="left"/>
      <w:outlineLvl w:val="9"/>
      <w:rPr>
        <w:rFonts w:hint="eastAsia" w:ascii="宋体" w:hAnsi="宋体" w:eastAsia="宋体" w:cs="宋体"/>
        <w:sz w:val="28"/>
        <w:lang w:eastAsia="zh-CN"/>
      </w:rPr>
    </w:pPr>
    <w:r>
      <w:rPr>
        <w:rFonts w:hint="eastAsia" w:ascii="宋体" w:hAnsi="宋体" w:cs="宋体"/>
        <w:sz w:val="28"/>
        <w:lang w:eastAsia="zh-CN"/>
      </w:rPr>
      <w:t xml:space="preserve">— </w:t>
    </w:r>
    <w:r>
      <w:rPr>
        <w:rFonts w:hint="eastAsia" w:ascii="宋体" w:hAnsi="宋体" w:cs="宋体"/>
        <w:sz w:val="28"/>
        <w:lang w:eastAsia="zh-CN"/>
      </w:rPr>
      <w:fldChar w:fldCharType="begin"/>
    </w:r>
    <w:r>
      <w:rPr>
        <w:rFonts w:hint="eastAsia" w:ascii="宋体" w:hAnsi="宋体" w:cs="宋体"/>
        <w:sz w:val="28"/>
        <w:lang w:eastAsia="zh-CN"/>
      </w:rPr>
      <w:instrText xml:space="preserve"> PAGE Page \* MERGEFORMAT </w:instrText>
    </w:r>
    <w:r>
      <w:rPr>
        <w:rFonts w:hint="eastAsia" w:ascii="宋体" w:hAnsi="宋体" w:cs="宋体"/>
        <w:sz w:val="28"/>
        <w:lang w:eastAsia="zh-CN"/>
      </w:rPr>
      <w:fldChar w:fldCharType="separate"/>
    </w:r>
    <w:r>
      <w:rPr>
        <w:rFonts w:hint="eastAsia" w:ascii="宋体" w:hAnsi="宋体" w:cs="宋体"/>
        <w:sz w:val="28"/>
        <w:lang w:eastAsia="zh-CN"/>
      </w:rPr>
      <w:t>2</w:t>
    </w:r>
    <w:r>
      <w:rPr>
        <w:rFonts w:hint="eastAsia" w:ascii="宋体" w:hAnsi="宋体" w:cs="宋体"/>
        <w:sz w:val="28"/>
        <w:lang w:eastAsia="zh-CN"/>
      </w:rPr>
      <w:fldChar w:fldCharType="end"/>
    </w:r>
    <w:r>
      <w:rPr>
        <w:rFonts w:hint="eastAsia" w:ascii="宋体" w:hAnsi="宋体" w:cs="宋体"/>
        <w:sz w:val="28"/>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825DB">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F9439">
    <w:pPr>
      <w:pStyle w:val="7"/>
      <w:widowControl w:val="0"/>
      <w:autoSpaceDE/>
      <w:autoSpaceDN/>
      <w:adjustRightInd/>
      <w:snapToGrid/>
      <w:spacing w:beforeAutospacing="0" w:afterAutospacing="0" w:line="240" w:lineRule="auto"/>
      <w:ind w:left="0" w:leftChars="0" w:right="320" w:rightChars="100" w:firstLine="0" w:firstLineChars="0"/>
      <w:jc w:val="right"/>
      <w:outlineLvl w:val="9"/>
      <w:rPr>
        <w:rFonts w:hint="eastAsia" w:ascii="宋体" w:hAnsi="宋体" w:eastAsia="宋体" w:cs="宋体"/>
        <w:sz w:val="28"/>
        <w:lang w:eastAsia="zh-CN"/>
      </w:rPr>
    </w:pPr>
    <w:r>
      <w:rPr>
        <w:rFonts w:hint="eastAsia" w:ascii="宋体" w:hAnsi="宋体" w:cs="宋体"/>
        <w:sz w:val="28"/>
        <w:lang w:eastAsia="zh-CN"/>
      </w:rPr>
      <w:t xml:space="preserve">— </w:t>
    </w:r>
    <w:r>
      <w:rPr>
        <w:rFonts w:hint="eastAsia" w:ascii="宋体" w:hAnsi="宋体" w:cs="宋体"/>
        <w:sz w:val="28"/>
        <w:lang w:eastAsia="zh-CN"/>
      </w:rPr>
      <w:fldChar w:fldCharType="begin"/>
    </w:r>
    <w:r>
      <w:rPr>
        <w:rFonts w:hint="eastAsia" w:ascii="宋体" w:hAnsi="宋体" w:cs="宋体"/>
        <w:sz w:val="28"/>
        <w:lang w:eastAsia="zh-CN"/>
      </w:rPr>
      <w:instrText xml:space="preserve"> PAGE Page \* MERGEFORMAT </w:instrText>
    </w:r>
    <w:r>
      <w:rPr>
        <w:rFonts w:hint="eastAsia" w:ascii="宋体" w:hAnsi="宋体" w:cs="宋体"/>
        <w:sz w:val="28"/>
        <w:lang w:eastAsia="zh-CN"/>
      </w:rPr>
      <w:fldChar w:fldCharType="separate"/>
    </w:r>
    <w:r>
      <w:rPr>
        <w:rFonts w:hint="eastAsia" w:ascii="宋体" w:hAnsi="宋体" w:cs="宋体"/>
        <w:sz w:val="28"/>
        <w:lang w:eastAsia="zh-CN"/>
      </w:rPr>
      <w:t>5</w:t>
    </w:r>
    <w:r>
      <w:rPr>
        <w:rFonts w:hint="eastAsia" w:ascii="宋体" w:hAnsi="宋体" w:cs="宋体"/>
        <w:sz w:val="28"/>
        <w:lang w:eastAsia="zh-CN"/>
      </w:rPr>
      <w:fldChar w:fldCharType="end"/>
    </w:r>
    <w:r>
      <w:rPr>
        <w:rFonts w:hint="eastAsia" w:ascii="宋体" w:hAnsi="宋体" w:cs="宋体"/>
        <w:sz w:val="28"/>
        <w:lang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721C7">
    <w:pPr>
      <w:pStyle w:val="7"/>
      <w:widowControl w:val="0"/>
      <w:autoSpaceDE/>
      <w:autoSpaceDN/>
      <w:adjustRightInd/>
      <w:snapToGrid/>
      <w:spacing w:beforeAutospacing="0" w:afterAutospacing="0" w:line="240" w:lineRule="auto"/>
      <w:ind w:left="320" w:leftChars="100" w:right="0" w:rightChars="0" w:firstLine="0" w:firstLineChars="0"/>
      <w:jc w:val="left"/>
      <w:outlineLvl w:val="9"/>
      <w:rPr>
        <w:rFonts w:hint="eastAsia" w:ascii="宋体" w:hAnsi="宋体" w:eastAsia="宋体" w:cs="宋体"/>
        <w:sz w:val="28"/>
        <w:lang w:eastAsia="zh-CN"/>
      </w:rPr>
    </w:pPr>
    <w:r>
      <w:rPr>
        <w:rFonts w:hint="eastAsia" w:ascii="宋体" w:hAnsi="宋体" w:cs="宋体"/>
        <w:sz w:val="28"/>
        <w:lang w:eastAsia="zh-CN"/>
      </w:rPr>
      <w:t xml:space="preserve">— </w:t>
    </w:r>
    <w:r>
      <w:rPr>
        <w:rFonts w:hint="eastAsia" w:ascii="宋体" w:hAnsi="宋体" w:cs="宋体"/>
        <w:sz w:val="28"/>
        <w:lang w:eastAsia="zh-CN"/>
      </w:rPr>
      <w:fldChar w:fldCharType="begin"/>
    </w:r>
    <w:r>
      <w:rPr>
        <w:rFonts w:hint="eastAsia" w:ascii="宋体" w:hAnsi="宋体" w:cs="宋体"/>
        <w:sz w:val="28"/>
        <w:lang w:eastAsia="zh-CN"/>
      </w:rPr>
      <w:instrText xml:space="preserve"> PAGE Page \* MERGEFORMAT </w:instrText>
    </w:r>
    <w:r>
      <w:rPr>
        <w:rFonts w:hint="eastAsia" w:ascii="宋体" w:hAnsi="宋体" w:cs="宋体"/>
        <w:sz w:val="28"/>
        <w:lang w:eastAsia="zh-CN"/>
      </w:rPr>
      <w:fldChar w:fldCharType="separate"/>
    </w:r>
    <w:r>
      <w:rPr>
        <w:rFonts w:hint="eastAsia" w:ascii="宋体" w:hAnsi="宋体" w:cs="宋体"/>
        <w:sz w:val="28"/>
        <w:lang w:eastAsia="zh-CN"/>
      </w:rPr>
      <w:t>4</w:t>
    </w:r>
    <w:r>
      <w:rPr>
        <w:rFonts w:hint="eastAsia" w:ascii="宋体" w:hAnsi="宋体" w:cs="宋体"/>
        <w:sz w:val="28"/>
        <w:lang w:eastAsia="zh-CN"/>
      </w:rPr>
      <w:fldChar w:fldCharType="end"/>
    </w:r>
    <w:r>
      <w:rPr>
        <w:rFonts w:hint="eastAsia" w:ascii="宋体" w:hAnsi="宋体" w:cs="宋体"/>
        <w:sz w:val="28"/>
        <w:lang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2865B">
    <w:pPr>
      <w:pStyle w:val="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4FB77">
    <w:pPr>
      <w:pStyle w:val="7"/>
      <w:widowControl w:val="0"/>
      <w:autoSpaceDE/>
      <w:autoSpaceDN/>
      <w:adjustRightInd/>
      <w:snapToGrid/>
      <w:spacing w:beforeAutospacing="0" w:afterAutospacing="0" w:line="240" w:lineRule="auto"/>
      <w:ind w:left="0" w:leftChars="0" w:right="320" w:rightChars="100" w:firstLine="0" w:firstLineChars="0"/>
      <w:jc w:val="right"/>
      <w:outlineLvl w:val="9"/>
      <w:rPr>
        <w:rFonts w:hint="eastAsia" w:ascii="宋体" w:hAnsi="宋体" w:eastAsia="宋体" w:cs="宋体"/>
        <w:sz w:val="28"/>
        <w:lang w:eastAsia="zh-CN"/>
      </w:rPr>
    </w:pPr>
    <w:r>
      <w:rPr>
        <w:rFonts w:hint="eastAsia" w:ascii="宋体" w:hAnsi="宋体" w:cs="宋体"/>
        <w:sz w:val="28"/>
        <w:lang w:eastAsia="zh-CN"/>
      </w:rPr>
      <w:t xml:space="preserve">— </w:t>
    </w:r>
    <w:r>
      <w:rPr>
        <w:rFonts w:hint="eastAsia" w:ascii="宋体" w:hAnsi="宋体" w:cs="宋体"/>
        <w:sz w:val="28"/>
        <w:lang w:eastAsia="zh-CN"/>
      </w:rPr>
      <w:fldChar w:fldCharType="begin"/>
    </w:r>
    <w:r>
      <w:rPr>
        <w:rFonts w:hint="eastAsia" w:ascii="宋体" w:hAnsi="宋体" w:cs="宋体"/>
        <w:sz w:val="28"/>
        <w:lang w:eastAsia="zh-CN"/>
      </w:rPr>
      <w:instrText xml:space="preserve"> PAGE Page \* MERGEFORMAT </w:instrText>
    </w:r>
    <w:r>
      <w:rPr>
        <w:rFonts w:hint="eastAsia" w:ascii="宋体" w:hAnsi="宋体" w:cs="宋体"/>
        <w:sz w:val="28"/>
        <w:lang w:eastAsia="zh-CN"/>
      </w:rPr>
      <w:fldChar w:fldCharType="separate"/>
    </w:r>
    <w:r>
      <w:rPr>
        <w:rFonts w:hint="eastAsia" w:ascii="宋体" w:hAnsi="宋体" w:cs="宋体"/>
        <w:sz w:val="28"/>
        <w:lang w:eastAsia="zh-CN"/>
      </w:rPr>
      <w:t>9</w:t>
    </w:r>
    <w:r>
      <w:rPr>
        <w:rFonts w:hint="eastAsia" w:ascii="宋体" w:hAnsi="宋体" w:cs="宋体"/>
        <w:sz w:val="28"/>
        <w:lang w:eastAsia="zh-CN"/>
      </w:rPr>
      <w:fldChar w:fldCharType="end"/>
    </w:r>
    <w:r>
      <w:rPr>
        <w:rFonts w:hint="eastAsia" w:ascii="宋体" w:hAnsi="宋体" w:cs="宋体"/>
        <w:sz w:val="28"/>
        <w:lang w:eastAsia="zh-CN"/>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D21C1">
    <w:pPr>
      <w:pStyle w:val="7"/>
      <w:widowControl w:val="0"/>
      <w:autoSpaceDE/>
      <w:autoSpaceDN/>
      <w:adjustRightInd/>
      <w:snapToGrid/>
      <w:spacing w:beforeAutospacing="0" w:afterAutospacing="0" w:line="240" w:lineRule="auto"/>
      <w:ind w:left="320" w:leftChars="100" w:right="0" w:rightChars="0" w:firstLine="0" w:firstLineChars="0"/>
      <w:jc w:val="left"/>
      <w:outlineLvl w:val="9"/>
      <w:rPr>
        <w:rFonts w:hint="eastAsia" w:ascii="宋体" w:hAnsi="宋体" w:eastAsia="宋体" w:cs="宋体"/>
        <w:sz w:val="28"/>
        <w:lang w:eastAsia="zh-CN"/>
      </w:rPr>
    </w:pPr>
    <w:r>
      <w:rPr>
        <w:rFonts w:hint="eastAsia" w:ascii="宋体" w:hAnsi="宋体" w:cs="宋体"/>
        <w:sz w:val="28"/>
        <w:lang w:eastAsia="zh-CN"/>
      </w:rPr>
      <w:t xml:space="preserve">— </w:t>
    </w:r>
    <w:r>
      <w:rPr>
        <w:rFonts w:hint="eastAsia" w:ascii="宋体" w:hAnsi="宋体" w:cs="宋体"/>
        <w:sz w:val="28"/>
        <w:lang w:eastAsia="zh-CN"/>
      </w:rPr>
      <w:fldChar w:fldCharType="begin"/>
    </w:r>
    <w:r>
      <w:rPr>
        <w:rFonts w:hint="eastAsia" w:ascii="宋体" w:hAnsi="宋体" w:cs="宋体"/>
        <w:sz w:val="28"/>
        <w:lang w:eastAsia="zh-CN"/>
      </w:rPr>
      <w:instrText xml:space="preserve"> PAGE Page \* MERGEFORMAT </w:instrText>
    </w:r>
    <w:r>
      <w:rPr>
        <w:rFonts w:hint="eastAsia" w:ascii="宋体" w:hAnsi="宋体" w:cs="宋体"/>
        <w:sz w:val="28"/>
        <w:lang w:eastAsia="zh-CN"/>
      </w:rPr>
      <w:fldChar w:fldCharType="separate"/>
    </w:r>
    <w:r>
      <w:rPr>
        <w:rFonts w:hint="eastAsia" w:ascii="宋体" w:hAnsi="宋体" w:cs="宋体"/>
        <w:sz w:val="28"/>
        <w:lang w:eastAsia="zh-CN"/>
      </w:rPr>
      <w:t>10</w:t>
    </w:r>
    <w:r>
      <w:rPr>
        <w:rFonts w:hint="eastAsia" w:ascii="宋体" w:hAnsi="宋体" w:cs="宋体"/>
        <w:sz w:val="28"/>
        <w:lang w:eastAsia="zh-CN"/>
      </w:rPr>
      <w:fldChar w:fldCharType="end"/>
    </w:r>
    <w:r>
      <w:rPr>
        <w:rFonts w:hint="eastAsia" w:ascii="宋体" w:hAnsi="宋体" w:cs="宋体"/>
        <w:sz w:val="28"/>
        <w:lang w:eastAsia="zh-CN"/>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8E4BB">
    <w:pPr>
      <w:pStyle w:val="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F435D">
    <w:pPr>
      <w:pStyle w:val="7"/>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0C283">
    <w:pPr>
      <w:pStyle w:val="7"/>
      <w:widowControl w:val="0"/>
      <w:autoSpaceDE/>
      <w:autoSpaceDN/>
      <w:adjustRightInd/>
      <w:snapToGrid/>
      <w:spacing w:beforeAutospacing="0" w:afterAutospacing="0" w:line="240" w:lineRule="auto"/>
      <w:ind w:left="320" w:leftChars="100" w:right="0" w:rightChars="0" w:firstLine="0" w:firstLineChars="0"/>
      <w:jc w:val="left"/>
      <w:outlineLvl w:val="9"/>
      <w:rPr>
        <w:rFonts w:hint="eastAsia" w:ascii="宋体" w:hAnsi="宋体" w:eastAsia="宋体" w:cs="宋体"/>
        <w:sz w:val="28"/>
        <w:lang w:eastAsia="zh-CN"/>
      </w:rPr>
    </w:pPr>
    <w:r>
      <w:rPr>
        <w:rFonts w:hint="eastAsia" w:ascii="宋体" w:hAnsi="宋体" w:cs="宋体"/>
        <w:sz w:val="28"/>
        <w:lang w:eastAsia="zh-CN"/>
      </w:rPr>
      <w:t xml:space="preserve">— </w:t>
    </w:r>
    <w:r>
      <w:rPr>
        <w:rFonts w:hint="eastAsia" w:ascii="宋体" w:hAnsi="宋体" w:cs="宋体"/>
        <w:sz w:val="28"/>
        <w:lang w:eastAsia="zh-CN"/>
      </w:rPr>
      <w:fldChar w:fldCharType="begin"/>
    </w:r>
    <w:r>
      <w:rPr>
        <w:rFonts w:hint="eastAsia" w:ascii="宋体" w:hAnsi="宋体" w:cs="宋体"/>
        <w:sz w:val="28"/>
        <w:lang w:eastAsia="zh-CN"/>
      </w:rPr>
      <w:instrText xml:space="preserve"> PAGE Page \* MERGEFORMAT </w:instrText>
    </w:r>
    <w:r>
      <w:rPr>
        <w:rFonts w:hint="eastAsia" w:ascii="宋体" w:hAnsi="宋体" w:cs="宋体"/>
        <w:sz w:val="28"/>
        <w:lang w:eastAsia="zh-CN"/>
      </w:rPr>
      <w:fldChar w:fldCharType="separate"/>
    </w:r>
    <w:r>
      <w:rPr>
        <w:rFonts w:hint="eastAsia" w:ascii="宋体" w:hAnsi="宋体" w:cs="宋体"/>
        <w:sz w:val="28"/>
        <w:lang w:eastAsia="zh-CN"/>
      </w:rPr>
      <w:t>14</w:t>
    </w:r>
    <w:r>
      <w:rPr>
        <w:rFonts w:hint="eastAsia" w:ascii="宋体" w:hAnsi="宋体" w:cs="宋体"/>
        <w:sz w:val="28"/>
        <w:lang w:eastAsia="zh-CN"/>
      </w:rPr>
      <w:fldChar w:fldCharType="end"/>
    </w:r>
    <w:r>
      <w:rPr>
        <w:rFonts w:hint="eastAsia" w:ascii="宋体" w:hAnsi="宋体" w:cs="宋体"/>
        <w:sz w:val="28"/>
        <w:lang w:eastAsia="zh-CN"/>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F1E04">
    <w:pPr>
      <w:pStyle w:val="7"/>
      <w:widowControl w:val="0"/>
      <w:autoSpaceDE/>
      <w:autoSpaceDN/>
      <w:adjustRightInd/>
      <w:snapToGrid/>
      <w:spacing w:beforeAutospacing="0" w:afterAutospacing="0" w:line="240" w:lineRule="auto"/>
      <w:ind w:left="0" w:leftChars="0" w:right="320" w:rightChars="100" w:firstLine="0" w:firstLineChars="0"/>
      <w:jc w:val="right"/>
      <w:outlineLvl w:val="9"/>
      <w:rPr>
        <w:rFonts w:hint="eastAsia" w:ascii="宋体" w:hAnsi="宋体" w:eastAsia="宋体" w:cs="宋体"/>
        <w:sz w:val="28"/>
        <w:lang w:eastAsia="zh-CN"/>
      </w:rPr>
    </w:pPr>
    <w:r>
      <w:rPr>
        <w:rFonts w:hint="eastAsia" w:ascii="宋体" w:hAnsi="宋体" w:cs="宋体"/>
        <w:sz w:val="28"/>
        <w:lang w:eastAsia="zh-CN"/>
      </w:rPr>
      <w:t xml:space="preserve">— </w:t>
    </w:r>
    <w:r>
      <w:rPr>
        <w:rFonts w:hint="eastAsia" w:ascii="宋体" w:hAnsi="宋体" w:cs="宋体"/>
        <w:sz w:val="28"/>
        <w:lang w:eastAsia="zh-CN"/>
      </w:rPr>
      <w:fldChar w:fldCharType="begin"/>
    </w:r>
    <w:r>
      <w:rPr>
        <w:rFonts w:hint="eastAsia" w:ascii="宋体" w:hAnsi="宋体" w:cs="宋体"/>
        <w:sz w:val="28"/>
        <w:lang w:eastAsia="zh-CN"/>
      </w:rPr>
      <w:instrText xml:space="preserve"> PAGE Page \* MERGEFORMAT </w:instrText>
    </w:r>
    <w:r>
      <w:rPr>
        <w:rFonts w:hint="eastAsia" w:ascii="宋体" w:hAnsi="宋体" w:cs="宋体"/>
        <w:sz w:val="28"/>
        <w:lang w:eastAsia="zh-CN"/>
      </w:rPr>
      <w:fldChar w:fldCharType="separate"/>
    </w:r>
    <w:r>
      <w:rPr>
        <w:rFonts w:hint="eastAsia" w:ascii="宋体" w:hAnsi="宋体" w:cs="宋体"/>
        <w:sz w:val="28"/>
        <w:lang w:eastAsia="zh-CN"/>
      </w:rPr>
      <w:t>13</w:t>
    </w:r>
    <w:r>
      <w:rPr>
        <w:rFonts w:hint="eastAsia" w:ascii="宋体" w:hAnsi="宋体" w:cs="宋体"/>
        <w:sz w:val="28"/>
        <w:lang w:eastAsia="zh-CN"/>
      </w:rPr>
      <w:fldChar w:fldCharType="end"/>
    </w:r>
    <w:r>
      <w:rPr>
        <w:rFonts w:hint="eastAsia" w:ascii="宋体" w:hAnsi="宋体" w:cs="宋体"/>
        <w:sz w:val="28"/>
        <w:lang w:eastAsia="zh-CN"/>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1C84F">
    <w:pPr>
      <w:pStyle w:val="7"/>
      <w:widowControl w:val="0"/>
      <w:autoSpaceDE/>
      <w:autoSpaceDN/>
      <w:adjustRightInd/>
      <w:snapToGrid/>
      <w:spacing w:beforeAutospacing="0" w:afterAutospacing="0" w:line="240" w:lineRule="auto"/>
      <w:ind w:left="0" w:leftChars="0" w:right="320" w:rightChars="100" w:firstLine="0" w:firstLineChars="0"/>
      <w:jc w:val="right"/>
      <w:outlineLvl w:val="9"/>
      <w:rPr>
        <w:rFonts w:hint="eastAsia" w:ascii="宋体" w:hAnsi="宋体" w:eastAsia="宋体" w:cs="宋体"/>
        <w:sz w:val="28"/>
        <w:lang w:eastAsia="zh-CN"/>
      </w:rPr>
    </w:pPr>
    <w:r>
      <w:rPr>
        <w:rFonts w:hint="eastAsia" w:ascii="宋体" w:hAnsi="宋体" w:cs="宋体"/>
        <w:sz w:val="28"/>
        <w:lang w:eastAsia="zh-CN"/>
      </w:rPr>
      <w:t xml:space="preserve">— </w:t>
    </w:r>
    <w:r>
      <w:rPr>
        <w:rFonts w:hint="eastAsia" w:ascii="宋体" w:hAnsi="宋体" w:cs="宋体"/>
        <w:sz w:val="28"/>
        <w:lang w:eastAsia="zh-CN"/>
      </w:rPr>
      <w:fldChar w:fldCharType="begin"/>
    </w:r>
    <w:r>
      <w:rPr>
        <w:rFonts w:hint="eastAsia" w:ascii="宋体" w:hAnsi="宋体" w:cs="宋体"/>
        <w:sz w:val="28"/>
        <w:lang w:eastAsia="zh-CN"/>
      </w:rPr>
      <w:instrText xml:space="preserve"> PAGE Page \* MERGEFORMAT </w:instrText>
    </w:r>
    <w:r>
      <w:rPr>
        <w:rFonts w:hint="eastAsia" w:ascii="宋体" w:hAnsi="宋体" w:cs="宋体"/>
        <w:sz w:val="28"/>
        <w:lang w:eastAsia="zh-CN"/>
      </w:rPr>
      <w:fldChar w:fldCharType="separate"/>
    </w:r>
    <w:r>
      <w:rPr>
        <w:rFonts w:hint="eastAsia" w:ascii="宋体" w:hAnsi="宋体" w:cs="宋体"/>
        <w:sz w:val="28"/>
        <w:lang w:eastAsia="zh-CN"/>
      </w:rPr>
      <w:t>17</w:t>
    </w:r>
    <w:r>
      <w:rPr>
        <w:rFonts w:hint="eastAsia" w:ascii="宋体" w:hAnsi="宋体" w:cs="宋体"/>
        <w:sz w:val="28"/>
        <w:lang w:eastAsia="zh-CN"/>
      </w:rPr>
      <w:fldChar w:fldCharType="end"/>
    </w:r>
    <w:r>
      <w:rPr>
        <w:rFonts w:hint="eastAsia" w:ascii="宋体" w:hAnsi="宋体" w:cs="宋体"/>
        <w:sz w:val="28"/>
        <w:lang w:eastAsia="zh-CN"/>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8EDA2">
    <w:pPr>
      <w:pStyle w:val="7"/>
      <w:widowControl w:val="0"/>
      <w:autoSpaceDE/>
      <w:autoSpaceDN/>
      <w:adjustRightInd/>
      <w:snapToGrid/>
      <w:spacing w:beforeAutospacing="0" w:afterAutospacing="0" w:line="240" w:lineRule="auto"/>
      <w:ind w:left="320" w:leftChars="100" w:right="0" w:rightChars="0" w:firstLine="0" w:firstLineChars="0"/>
      <w:jc w:val="left"/>
      <w:outlineLvl w:val="9"/>
      <w:rPr>
        <w:rFonts w:hint="eastAsia" w:ascii="宋体" w:hAnsi="宋体" w:eastAsia="宋体" w:cs="宋体"/>
        <w:sz w:val="28"/>
        <w:lang w:eastAsia="zh-CN"/>
      </w:rPr>
    </w:pPr>
    <w:r>
      <w:rPr>
        <w:rFonts w:hint="eastAsia" w:ascii="宋体" w:hAnsi="宋体" w:cs="宋体"/>
        <w:sz w:val="28"/>
        <w:lang w:eastAsia="zh-CN"/>
      </w:rPr>
      <w:t xml:space="preserve">— </w:t>
    </w:r>
    <w:r>
      <w:rPr>
        <w:rFonts w:hint="eastAsia" w:ascii="宋体" w:hAnsi="宋体" w:cs="宋体"/>
        <w:sz w:val="28"/>
        <w:lang w:eastAsia="zh-CN"/>
      </w:rPr>
      <w:fldChar w:fldCharType="begin"/>
    </w:r>
    <w:r>
      <w:rPr>
        <w:rFonts w:hint="eastAsia" w:ascii="宋体" w:hAnsi="宋体" w:cs="宋体"/>
        <w:sz w:val="28"/>
        <w:lang w:eastAsia="zh-CN"/>
      </w:rPr>
      <w:instrText xml:space="preserve"> PAGE Page \* MERGEFORMAT </w:instrText>
    </w:r>
    <w:r>
      <w:rPr>
        <w:rFonts w:hint="eastAsia" w:ascii="宋体" w:hAnsi="宋体" w:cs="宋体"/>
        <w:sz w:val="28"/>
        <w:lang w:eastAsia="zh-CN"/>
      </w:rPr>
      <w:fldChar w:fldCharType="separate"/>
    </w:r>
    <w:r>
      <w:rPr>
        <w:rFonts w:hint="eastAsia" w:ascii="宋体" w:hAnsi="宋体" w:cs="宋体"/>
        <w:sz w:val="28"/>
        <w:lang w:eastAsia="zh-CN"/>
      </w:rPr>
      <w:t>18</w:t>
    </w:r>
    <w:r>
      <w:rPr>
        <w:rFonts w:hint="eastAsia" w:ascii="宋体" w:hAnsi="宋体" w:cs="宋体"/>
        <w:sz w:val="28"/>
        <w:lang w:eastAsia="zh-CN"/>
      </w:rPr>
      <w:fldChar w:fldCharType="end"/>
    </w:r>
    <w:r>
      <w:rPr>
        <w:rFonts w:hint="eastAsia" w:ascii="宋体" w:hAnsi="宋体" w:cs="宋体"/>
        <w:sz w:val="28"/>
        <w:lang w:eastAsia="zh-CN"/>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7A761">
    <w:pPr>
      <w:pStyle w:val="7"/>
      <w:rPr>
        <w:rFonts w:hint="eastAsia"/>
        <w:lang w:eastAsia="zh-CN"/>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F5DD6">
    <w:pPr>
      <w:pStyle w:val="7"/>
      <w:widowControl w:val="0"/>
      <w:autoSpaceDE/>
      <w:autoSpaceDN/>
      <w:adjustRightInd/>
      <w:snapToGrid/>
      <w:spacing w:beforeAutospacing="0" w:afterAutospacing="0" w:line="240" w:lineRule="auto"/>
      <w:ind w:left="0" w:leftChars="0" w:right="320" w:rightChars="100" w:firstLine="0" w:firstLineChars="0"/>
      <w:jc w:val="right"/>
      <w:outlineLvl w:val="9"/>
      <w:rPr>
        <w:rFonts w:hint="eastAsia" w:ascii="宋体" w:hAnsi="宋体" w:eastAsia="宋体" w:cs="宋体"/>
        <w:sz w:val="28"/>
        <w:lang w:eastAsia="zh-CN"/>
      </w:rPr>
    </w:pPr>
    <w:r>
      <w:rPr>
        <w:rFonts w:hint="eastAsia" w:ascii="宋体" w:hAnsi="宋体" w:cs="宋体"/>
        <w:sz w:val="28"/>
        <w:lang w:eastAsia="zh-CN"/>
      </w:rPr>
      <w:t xml:space="preserve">— </w:t>
    </w:r>
    <w:r>
      <w:rPr>
        <w:rFonts w:hint="eastAsia" w:ascii="宋体" w:hAnsi="宋体" w:cs="宋体"/>
        <w:sz w:val="28"/>
        <w:lang w:eastAsia="zh-CN"/>
      </w:rPr>
      <w:fldChar w:fldCharType="begin"/>
    </w:r>
    <w:r>
      <w:rPr>
        <w:rFonts w:hint="eastAsia" w:ascii="宋体" w:hAnsi="宋体" w:cs="宋体"/>
        <w:sz w:val="28"/>
        <w:lang w:eastAsia="zh-CN"/>
      </w:rPr>
      <w:instrText xml:space="preserve"> PAGE Page \* MERGEFORMAT </w:instrText>
    </w:r>
    <w:r>
      <w:rPr>
        <w:rFonts w:hint="eastAsia" w:ascii="宋体" w:hAnsi="宋体" w:cs="宋体"/>
        <w:sz w:val="28"/>
        <w:lang w:eastAsia="zh-CN"/>
      </w:rPr>
      <w:fldChar w:fldCharType="separate"/>
    </w:r>
    <w:r>
      <w:rPr>
        <w:rFonts w:hint="eastAsia" w:ascii="宋体" w:hAnsi="宋体" w:cs="宋体"/>
        <w:sz w:val="28"/>
        <w:lang w:eastAsia="zh-CN"/>
      </w:rPr>
      <w:t>21</w:t>
    </w:r>
    <w:r>
      <w:rPr>
        <w:rFonts w:hint="eastAsia" w:ascii="宋体" w:hAnsi="宋体" w:cs="宋体"/>
        <w:sz w:val="28"/>
        <w:lang w:eastAsia="zh-CN"/>
      </w:rPr>
      <w:fldChar w:fldCharType="end"/>
    </w:r>
    <w:r>
      <w:rPr>
        <w:rFonts w:hint="eastAsia" w:ascii="宋体" w:hAnsi="宋体" w:cs="宋体"/>
        <w:sz w:val="28"/>
        <w:lang w:eastAsia="zh-CN"/>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75CA0">
    <w:pPr>
      <w:pStyle w:val="7"/>
      <w:widowControl w:val="0"/>
      <w:autoSpaceDE/>
      <w:autoSpaceDN/>
      <w:adjustRightInd/>
      <w:snapToGrid/>
      <w:spacing w:beforeAutospacing="0" w:afterAutospacing="0" w:line="240" w:lineRule="auto"/>
      <w:ind w:left="320" w:leftChars="100" w:right="0" w:rightChars="0" w:firstLine="0" w:firstLineChars="0"/>
      <w:jc w:val="left"/>
      <w:outlineLvl w:val="9"/>
      <w:rPr>
        <w:rFonts w:hint="eastAsia" w:ascii="宋体" w:hAnsi="宋体" w:eastAsia="宋体" w:cs="宋体"/>
        <w:sz w:val="28"/>
        <w:lang w:eastAsia="zh-CN"/>
      </w:rPr>
    </w:pPr>
    <w:r>
      <w:rPr>
        <w:rFonts w:hint="eastAsia" w:ascii="宋体" w:hAnsi="宋体" w:cs="宋体"/>
        <w:sz w:val="28"/>
        <w:lang w:eastAsia="zh-CN"/>
      </w:rPr>
      <w:t xml:space="preserve">— </w:t>
    </w:r>
    <w:r>
      <w:rPr>
        <w:rFonts w:hint="eastAsia" w:ascii="宋体" w:hAnsi="宋体" w:cs="宋体"/>
        <w:sz w:val="28"/>
        <w:lang w:eastAsia="zh-CN"/>
      </w:rPr>
      <w:fldChar w:fldCharType="begin"/>
    </w:r>
    <w:r>
      <w:rPr>
        <w:rFonts w:hint="eastAsia" w:ascii="宋体" w:hAnsi="宋体" w:cs="宋体"/>
        <w:sz w:val="28"/>
        <w:lang w:eastAsia="zh-CN"/>
      </w:rPr>
      <w:instrText xml:space="preserve"> PAGE Page \* MERGEFORMAT </w:instrText>
    </w:r>
    <w:r>
      <w:rPr>
        <w:rFonts w:hint="eastAsia" w:ascii="宋体" w:hAnsi="宋体" w:cs="宋体"/>
        <w:sz w:val="28"/>
        <w:lang w:eastAsia="zh-CN"/>
      </w:rPr>
      <w:fldChar w:fldCharType="separate"/>
    </w:r>
    <w:r>
      <w:rPr>
        <w:rFonts w:hint="eastAsia" w:ascii="宋体" w:hAnsi="宋体" w:cs="宋体"/>
        <w:sz w:val="28"/>
        <w:lang w:eastAsia="zh-CN"/>
      </w:rPr>
      <w:t>20</w:t>
    </w:r>
    <w:r>
      <w:rPr>
        <w:rFonts w:hint="eastAsia" w:ascii="宋体" w:hAnsi="宋体" w:cs="宋体"/>
        <w:sz w:val="28"/>
        <w:lang w:eastAsia="zh-CN"/>
      </w:rPr>
      <w:fldChar w:fldCharType="end"/>
    </w:r>
    <w:r>
      <w:rPr>
        <w:rFonts w:hint="eastAsia" w:ascii="宋体" w:hAnsi="宋体" w:cs="宋体"/>
        <w:sz w:val="28"/>
        <w:lang w:eastAsia="zh-CN"/>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998B8">
    <w:pPr>
      <w:pStyle w:val="7"/>
      <w:rPr>
        <w:rFonts w:hint="eastAsia"/>
        <w:lang w:eastAsia="zh-CN"/>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FE12C">
    <w:pPr>
      <w:pStyle w:val="7"/>
      <w:widowControl w:val="0"/>
      <w:autoSpaceDE/>
      <w:autoSpaceDN/>
      <w:adjustRightInd/>
      <w:snapToGrid/>
      <w:spacing w:beforeAutospacing="0" w:afterAutospacing="0" w:line="240" w:lineRule="auto"/>
      <w:ind w:left="0" w:leftChars="0" w:right="320" w:rightChars="100" w:firstLine="0" w:firstLineChars="0"/>
      <w:outlineLvl w:val="9"/>
      <w:rPr>
        <w:rFonts w:hint="eastAsia" w:ascii="宋体" w:hAnsi="宋体" w:eastAsia="宋体" w:cs="宋体"/>
        <w:sz w:val="28"/>
        <w:lang w:eastAsia="zh-CN"/>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13623">
    <w:pPr>
      <w:pStyle w:val="7"/>
      <w:widowControl w:val="0"/>
      <w:autoSpaceDE/>
      <w:autoSpaceDN/>
      <w:adjustRightInd/>
      <w:snapToGrid/>
      <w:spacing w:beforeAutospacing="0" w:afterAutospacing="0" w:line="240" w:lineRule="auto"/>
      <w:ind w:left="320" w:leftChars="100" w:right="0" w:rightChars="0" w:firstLine="0" w:firstLineChars="0"/>
      <w:outlineLvl w:val="9"/>
      <w:rPr>
        <w:rFonts w:hint="eastAsia" w:ascii="宋体" w:hAnsi="宋体" w:eastAsia="宋体" w:cs="宋体"/>
        <w:sz w:val="28"/>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7226E">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8BCB4">
    <w:pPr>
      <w:pStyle w:val="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FC7CF">
    <w:pPr>
      <w:pStyle w:val="8"/>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811E2">
    <w:pPr>
      <w:pStyle w:val="8"/>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77A8C">
    <w:pPr>
      <w:pStyle w:val="8"/>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BBAA6">
    <w:pPr>
      <w:pStyle w:val="8"/>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298D4">
    <w:pPr>
      <w:pStyle w:val="8"/>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40209">
    <w:pPr>
      <w:pStyle w:val="8"/>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1C072">
    <w:pPr>
      <w:pStyle w:val="8"/>
      <w:pBdr>
        <w:bottom w:val="none" w:color="auto" w:sz="0" w:space="1"/>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18C28">
    <w:pPr>
      <w:pStyle w:val="8"/>
      <w:pBdr>
        <w:bottom w:val="none" w:color="auto" w:sz="0" w:space="1"/>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BBD05">
    <w:pPr>
      <w:pStyle w:val="8"/>
      <w:pBdr>
        <w:bottom w:val="none" w:color="auto" w:sz="0" w:space="1"/>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24369">
    <w:pPr>
      <w:pStyle w:val="8"/>
      <w:pBdr>
        <w:bottom w:val="none" w:color="auto" w:sz="0" w:space="1"/>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76E21">
    <w:pPr>
      <w:pStyle w:val="8"/>
      <w:pBdr>
        <w:bottom w:val="none" w:color="auto" w:sz="0" w:space="1"/>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E9ABC">
    <w:pPr>
      <w:pStyle w:val="8"/>
      <w:pBdr>
        <w:bottom w:val="none" w:color="auto" w:sz="0" w:space="1"/>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F3188">
    <w:pPr>
      <w:pStyle w:val="8"/>
      <w:pBdr>
        <w:bottom w:val="none" w:color="auto" w:sz="0" w:space="1"/>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E0DB5">
    <w:pPr>
      <w:pStyle w:val="8"/>
      <w:pBdr>
        <w:bottom w:val="none" w:color="auto" w:sz="0" w:space="1"/>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A9B9D">
    <w:pPr>
      <w:pStyle w:val="8"/>
      <w:pBdr>
        <w:bottom w:val="none" w:color="auto" w:sz="0" w:space="1"/>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0C4DA">
    <w:pPr>
      <w:pStyle w:val="8"/>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1NWUxNjQyYjUwYzQ5ZjUxNWI4MmVkZmEwODllMTAifQ=="/>
  </w:docVars>
  <w:rsids>
    <w:rsidRoot w:val="000D5573"/>
    <w:rsid w:val="00000B10"/>
    <w:rsid w:val="00007300"/>
    <w:rsid w:val="000D5573"/>
    <w:rsid w:val="000D74A1"/>
    <w:rsid w:val="0012504E"/>
    <w:rsid w:val="00154298"/>
    <w:rsid w:val="00192170"/>
    <w:rsid w:val="00192B8A"/>
    <w:rsid w:val="00193D94"/>
    <w:rsid w:val="002178F4"/>
    <w:rsid w:val="002C3D57"/>
    <w:rsid w:val="0031055B"/>
    <w:rsid w:val="003136E9"/>
    <w:rsid w:val="003526A2"/>
    <w:rsid w:val="003824D1"/>
    <w:rsid w:val="003C20D4"/>
    <w:rsid w:val="003D178C"/>
    <w:rsid w:val="003E0CD4"/>
    <w:rsid w:val="0040701F"/>
    <w:rsid w:val="00445F8C"/>
    <w:rsid w:val="00494AB8"/>
    <w:rsid w:val="004A2E68"/>
    <w:rsid w:val="004A6F85"/>
    <w:rsid w:val="004F2B9B"/>
    <w:rsid w:val="00525819"/>
    <w:rsid w:val="00542C9B"/>
    <w:rsid w:val="00572FB5"/>
    <w:rsid w:val="00615943"/>
    <w:rsid w:val="00640364"/>
    <w:rsid w:val="0065303E"/>
    <w:rsid w:val="006A21D3"/>
    <w:rsid w:val="0071746C"/>
    <w:rsid w:val="00774D77"/>
    <w:rsid w:val="007858B2"/>
    <w:rsid w:val="007C2025"/>
    <w:rsid w:val="007F509F"/>
    <w:rsid w:val="00890E2B"/>
    <w:rsid w:val="008B279D"/>
    <w:rsid w:val="00922723"/>
    <w:rsid w:val="009308BE"/>
    <w:rsid w:val="009A1D25"/>
    <w:rsid w:val="00A156CF"/>
    <w:rsid w:val="00A240E6"/>
    <w:rsid w:val="00A75B89"/>
    <w:rsid w:val="00AC0D6C"/>
    <w:rsid w:val="00B5154F"/>
    <w:rsid w:val="00BA468C"/>
    <w:rsid w:val="00BB740E"/>
    <w:rsid w:val="00C03C3F"/>
    <w:rsid w:val="00C375FF"/>
    <w:rsid w:val="00D31AC0"/>
    <w:rsid w:val="00D54D2C"/>
    <w:rsid w:val="00DD056C"/>
    <w:rsid w:val="00DD7051"/>
    <w:rsid w:val="00E02E27"/>
    <w:rsid w:val="00E3656A"/>
    <w:rsid w:val="00E735E9"/>
    <w:rsid w:val="00E75A75"/>
    <w:rsid w:val="00E804CA"/>
    <w:rsid w:val="00E84297"/>
    <w:rsid w:val="00E964B4"/>
    <w:rsid w:val="00EC73DC"/>
    <w:rsid w:val="00ED3FCE"/>
    <w:rsid w:val="00ED4764"/>
    <w:rsid w:val="00ED4A67"/>
    <w:rsid w:val="00EF28E3"/>
    <w:rsid w:val="00F134B9"/>
    <w:rsid w:val="00F225B8"/>
    <w:rsid w:val="00F25CF1"/>
    <w:rsid w:val="00F4278C"/>
    <w:rsid w:val="00F56B56"/>
    <w:rsid w:val="00F9440D"/>
    <w:rsid w:val="00FA5BA9"/>
    <w:rsid w:val="00FD6843"/>
    <w:rsid w:val="12017F8C"/>
    <w:rsid w:val="16C40580"/>
    <w:rsid w:val="1C2521D7"/>
    <w:rsid w:val="1D2B0F2B"/>
    <w:rsid w:val="27682377"/>
    <w:rsid w:val="2A9210EE"/>
    <w:rsid w:val="2B6A6B46"/>
    <w:rsid w:val="2D69660C"/>
    <w:rsid w:val="2E9C5D43"/>
    <w:rsid w:val="308F11AA"/>
    <w:rsid w:val="36614544"/>
    <w:rsid w:val="36940D18"/>
    <w:rsid w:val="37490F27"/>
    <w:rsid w:val="378D32BD"/>
    <w:rsid w:val="395D7275"/>
    <w:rsid w:val="3C917BF0"/>
    <w:rsid w:val="3FB37991"/>
    <w:rsid w:val="40674587"/>
    <w:rsid w:val="41C4435A"/>
    <w:rsid w:val="45E0774E"/>
    <w:rsid w:val="4A8473E1"/>
    <w:rsid w:val="5060329B"/>
    <w:rsid w:val="52AD5888"/>
    <w:rsid w:val="535C3303"/>
    <w:rsid w:val="54394BAF"/>
    <w:rsid w:val="54686973"/>
    <w:rsid w:val="54BC36EF"/>
    <w:rsid w:val="55BC6E1A"/>
    <w:rsid w:val="595217BA"/>
    <w:rsid w:val="5EE35E6F"/>
    <w:rsid w:val="67174532"/>
    <w:rsid w:val="6CB90138"/>
    <w:rsid w:val="6F413E6E"/>
    <w:rsid w:val="6F4A5AB4"/>
    <w:rsid w:val="722417ED"/>
    <w:rsid w:val="724E11C4"/>
    <w:rsid w:val="73B174F6"/>
    <w:rsid w:val="7D054658"/>
    <w:rsid w:val="7DC53D79"/>
    <w:rsid w:val="7E5B31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32"/>
      <w:szCs w:val="22"/>
      <w:lang w:val="en-US" w:eastAsia="zh-CN" w:bidi="ar-SA"/>
    </w:rPr>
  </w:style>
  <w:style w:type="paragraph" w:styleId="2">
    <w:name w:val="heading 1"/>
    <w:basedOn w:val="1"/>
    <w:next w:val="1"/>
    <w:autoRedefine/>
    <w:qFormat/>
    <w:uiPriority w:val="0"/>
    <w:pPr>
      <w:keepNext/>
      <w:keepLines/>
      <w:spacing w:line="560" w:lineRule="exact"/>
      <w:jc w:val="center"/>
      <w:outlineLvl w:val="0"/>
    </w:pPr>
    <w:rPr>
      <w:rFonts w:eastAsia="方正小标宋简体"/>
      <w:kern w:val="44"/>
      <w:sz w:val="44"/>
    </w:rPr>
  </w:style>
  <w:style w:type="paragraph" w:styleId="3">
    <w:name w:val="heading 2"/>
    <w:basedOn w:val="1"/>
    <w:next w:val="1"/>
    <w:link w:val="16"/>
    <w:autoRedefine/>
    <w:semiHidden/>
    <w:unhideWhenUsed/>
    <w:qFormat/>
    <w:uiPriority w:val="0"/>
    <w:pPr>
      <w:keepNext/>
      <w:keepLines/>
      <w:spacing w:line="360" w:lineRule="auto"/>
      <w:jc w:val="left"/>
      <w:outlineLvl w:val="1"/>
    </w:pPr>
    <w:rPr>
      <w:rFonts w:ascii="Arial" w:hAnsi="Arial" w:eastAsia="黑体"/>
      <w:sz w:val="32"/>
    </w:rPr>
  </w:style>
  <w:style w:type="paragraph" w:styleId="4">
    <w:name w:val="heading 3"/>
    <w:basedOn w:val="1"/>
    <w:next w:val="1"/>
    <w:autoRedefine/>
    <w:semiHidden/>
    <w:unhideWhenUsed/>
    <w:qFormat/>
    <w:uiPriority w:val="0"/>
    <w:pPr>
      <w:keepNext/>
      <w:keepLines/>
      <w:kinsoku w:val="0"/>
      <w:wordWrap w:val="0"/>
      <w:spacing w:beforeAutospacing="1" w:afterAutospacing="1"/>
      <w:jc w:val="left"/>
      <w:textAlignment w:val="top"/>
      <w:outlineLvl w:val="2"/>
    </w:pPr>
    <w:rPr>
      <w:rFonts w:eastAsia="楷体"/>
      <w:sz w:val="32"/>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5">
    <w:name w:val="Body Text"/>
    <w:basedOn w:val="1"/>
    <w:link w:val="20"/>
    <w:autoRedefine/>
    <w:semiHidden/>
    <w:unhideWhenUsed/>
    <w:qFormat/>
    <w:uiPriority w:val="99"/>
    <w:pPr>
      <w:spacing w:after="120"/>
    </w:pPr>
  </w:style>
  <w:style w:type="paragraph" w:styleId="6">
    <w:name w:val="Balloon Text"/>
    <w:basedOn w:val="1"/>
    <w:link w:val="19"/>
    <w:autoRedefine/>
    <w:qFormat/>
    <w:uiPriority w:val="0"/>
    <w:rPr>
      <w:sz w:val="18"/>
      <w:szCs w:val="18"/>
    </w:rPr>
  </w:style>
  <w:style w:type="paragraph" w:styleId="7">
    <w:name w:val="footer"/>
    <w:basedOn w:val="1"/>
    <w:autoRedefine/>
    <w:semiHidden/>
    <w:qFormat/>
    <w:uiPriority w:val="99"/>
    <w:pPr>
      <w:tabs>
        <w:tab w:val="center" w:pos="4153"/>
        <w:tab w:val="right" w:pos="8306"/>
      </w:tabs>
      <w:snapToGrid w:val="0"/>
      <w:jc w:val="left"/>
    </w:pPr>
    <w:rPr>
      <w:rFonts w:ascii="Calibri" w:hAnsi="Calibri" w:eastAsia="宋体" w:cs="Times New Roman"/>
      <w:sz w:val="18"/>
      <w:szCs w:val="18"/>
    </w:rPr>
  </w:style>
  <w:style w:type="paragraph" w:styleId="8">
    <w:name w:val="header"/>
    <w:autoRedefine/>
    <w:qFormat/>
    <w:uiPriority w:val="0"/>
    <w:pPr>
      <w:widowControl w:val="0"/>
      <w:pBdr>
        <w:bottom w:val="single" w:color="auto" w:sz="6" w:space="1"/>
      </w:pBdr>
      <w:tabs>
        <w:tab w:val="center" w:pos="4153"/>
        <w:tab w:val="right" w:pos="8306"/>
      </w:tabs>
      <w:snapToGrid w:val="0"/>
      <w:jc w:val="center"/>
    </w:pPr>
    <w:rPr>
      <w:rFonts w:ascii="Calibri" w:hAnsi="Calibri" w:eastAsia="宋体" w:cs="Times New Roman"/>
      <w:kern w:val="2"/>
      <w:sz w:val="21"/>
      <w:szCs w:val="24"/>
      <w:lang w:val="en-US" w:eastAsia="zh-CN" w:bidi="ar-SA"/>
    </w:rPr>
  </w:style>
  <w:style w:type="paragraph" w:styleId="9">
    <w:name w:val="toc 1"/>
    <w:basedOn w:val="1"/>
    <w:next w:val="1"/>
    <w:autoRedefine/>
    <w:qFormat/>
    <w:uiPriority w:val="0"/>
  </w:style>
  <w:style w:type="paragraph" w:styleId="10">
    <w:name w:val="Normal (Web)"/>
    <w:basedOn w:val="1"/>
    <w:autoRedefine/>
    <w:qFormat/>
    <w:uiPriority w:val="0"/>
    <w:pPr>
      <w:widowControl/>
      <w:spacing w:beforeAutospacing="1" w:afterAutospacing="1"/>
      <w:jc w:val="left"/>
    </w:pPr>
    <w:rPr>
      <w:rFonts w:hint="eastAsia" w:ascii="宋体" w:hAnsi="宋体" w:eastAsia="宋体" w:cs="Times New Roman"/>
      <w:kern w:val="0"/>
      <w:sz w:val="24"/>
    </w:rPr>
  </w:style>
  <w:style w:type="paragraph" w:styleId="11">
    <w:name w:val="Title"/>
    <w:basedOn w:val="1"/>
    <w:next w:val="1"/>
    <w:autoRedefine/>
    <w:qFormat/>
    <w:uiPriority w:val="0"/>
    <w:pPr>
      <w:jc w:val="center"/>
      <w:outlineLvl w:val="0"/>
    </w:pPr>
    <w:rPr>
      <w:rFonts w:ascii="Arial" w:hAnsi="Arial"/>
      <w:b/>
      <w:sz w:val="32"/>
    </w:rPr>
  </w:style>
  <w:style w:type="paragraph" w:styleId="12">
    <w:name w:val="Body Text First Indent"/>
    <w:basedOn w:val="5"/>
    <w:autoRedefine/>
    <w:semiHidden/>
    <w:unhideWhenUsed/>
    <w:qFormat/>
    <w:uiPriority w:val="99"/>
    <w:pPr>
      <w:ind w:firstLine="420" w:firstLineChars="100"/>
    </w:pPr>
  </w:style>
  <w:style w:type="table" w:styleId="14">
    <w:name w:val="Table Grid"/>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16">
    <w:name w:val="标题 2 Char"/>
    <w:link w:val="3"/>
    <w:autoRedefine/>
    <w:qFormat/>
    <w:uiPriority w:val="0"/>
    <w:rPr>
      <w:rFonts w:ascii="Arial" w:hAnsi="Arial" w:eastAsia="黑体"/>
      <w:sz w:val="32"/>
      <w:szCs w:val="22"/>
    </w:rPr>
  </w:style>
  <w:style w:type="table" w:customStyle="1" w:styleId="17">
    <w:name w:val="Table Normal"/>
    <w:autoRedefine/>
    <w:semiHidden/>
    <w:unhideWhenUsed/>
    <w:qFormat/>
    <w:uiPriority w:val="0"/>
    <w:tblPr>
      <w:tblCellMar>
        <w:top w:w="0" w:type="dxa"/>
        <w:left w:w="0" w:type="dxa"/>
        <w:bottom w:w="0" w:type="dxa"/>
        <w:right w:w="0" w:type="dxa"/>
      </w:tblCellMar>
    </w:tblPr>
  </w:style>
  <w:style w:type="paragraph" w:customStyle="1" w:styleId="18">
    <w:name w:val="标题 31"/>
    <w:basedOn w:val="1"/>
    <w:autoRedefine/>
    <w:qFormat/>
    <w:uiPriority w:val="1"/>
    <w:pPr>
      <w:autoSpaceDE w:val="0"/>
      <w:autoSpaceDN w:val="0"/>
      <w:ind w:left="595"/>
      <w:jc w:val="left"/>
      <w:outlineLvl w:val="3"/>
    </w:pPr>
    <w:rPr>
      <w:rFonts w:ascii="黑体" w:hAnsi="黑体" w:eastAsia="黑体" w:cs="黑体"/>
      <w:b/>
      <w:bCs/>
      <w:kern w:val="0"/>
      <w:sz w:val="28"/>
      <w:szCs w:val="28"/>
      <w:lang w:eastAsia="en-US"/>
    </w:rPr>
  </w:style>
  <w:style w:type="character" w:customStyle="1" w:styleId="19">
    <w:name w:val="批注框文本 Char"/>
    <w:basedOn w:val="15"/>
    <w:link w:val="6"/>
    <w:autoRedefine/>
    <w:qFormat/>
    <w:uiPriority w:val="0"/>
    <w:rPr>
      <w:kern w:val="2"/>
      <w:sz w:val="18"/>
      <w:szCs w:val="18"/>
    </w:rPr>
  </w:style>
  <w:style w:type="character" w:customStyle="1" w:styleId="20">
    <w:name w:val="正文文本 Char"/>
    <w:basedOn w:val="15"/>
    <w:link w:val="5"/>
    <w:autoRedefine/>
    <w:semiHidden/>
    <w:qFormat/>
    <w:uiPriority w:val="99"/>
    <w:rPr>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1.png"/><Relationship Id="rId41" Type="http://schemas.openxmlformats.org/officeDocument/2006/relationships/theme" Target="theme/theme1.xml"/><Relationship Id="rId40" Type="http://schemas.openxmlformats.org/officeDocument/2006/relationships/footer" Target="footer20.xml"/><Relationship Id="rId4" Type="http://schemas.openxmlformats.org/officeDocument/2006/relationships/header" Target="header2.xml"/><Relationship Id="rId39" Type="http://schemas.openxmlformats.org/officeDocument/2006/relationships/footer" Target="footer19.xml"/><Relationship Id="rId38" Type="http://schemas.openxmlformats.org/officeDocument/2006/relationships/footer" Target="footer18.xml"/><Relationship Id="rId37" Type="http://schemas.openxmlformats.org/officeDocument/2006/relationships/footer" Target="footer17.xml"/><Relationship Id="rId36" Type="http://schemas.openxmlformats.org/officeDocument/2006/relationships/footer" Target="footer16.xml"/><Relationship Id="rId35" Type="http://schemas.openxmlformats.org/officeDocument/2006/relationships/header" Target="header18.xml"/><Relationship Id="rId34" Type="http://schemas.openxmlformats.org/officeDocument/2006/relationships/header" Target="header17.xml"/><Relationship Id="rId33" Type="http://schemas.openxmlformats.org/officeDocument/2006/relationships/header" Target="header16.xml"/><Relationship Id="rId32" Type="http://schemas.openxmlformats.org/officeDocument/2006/relationships/footer" Target="footer15.xml"/><Relationship Id="rId31" Type="http://schemas.openxmlformats.org/officeDocument/2006/relationships/footer" Target="footer14.xml"/><Relationship Id="rId30" Type="http://schemas.openxmlformats.org/officeDocument/2006/relationships/footer" Target="footer13.xml"/><Relationship Id="rId3" Type="http://schemas.openxmlformats.org/officeDocument/2006/relationships/header" Target="header1.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header" Target="header13.xml"/><Relationship Id="rId26" Type="http://schemas.openxmlformats.org/officeDocument/2006/relationships/footer" Target="footer12.xml"/><Relationship Id="rId25" Type="http://schemas.openxmlformats.org/officeDocument/2006/relationships/footer" Target="footer11.xml"/><Relationship Id="rId24" Type="http://schemas.openxmlformats.org/officeDocument/2006/relationships/footer" Target="footer10.xml"/><Relationship Id="rId23" Type="http://schemas.openxmlformats.org/officeDocument/2006/relationships/header" Target="header12.xml"/><Relationship Id="rId22" Type="http://schemas.openxmlformats.org/officeDocument/2006/relationships/header" Target="header11.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18</Pages>
  <Words>3283</Words>
  <Characters>3448</Characters>
  <Lines>43</Lines>
  <Paragraphs>12</Paragraphs>
  <TotalTime>10</TotalTime>
  <ScaleCrop>false</ScaleCrop>
  <LinksUpToDate>false</LinksUpToDate>
  <CharactersWithSpaces>3452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2024-01-23T01:47:00Z</dcterms:created>
  <dc:creator>AYXY</dc:creator>
  <cp:lastModifiedBy>郭阿Sa</cp:lastModifiedBy>
  <cp:lastPrinted>2023-05-24T10:14:00Z</cp:lastPrinted>
  <dcterms:modified xsi:type="dcterms:W3CDTF">2026-09-22T08:03:45Z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9CC52F915C3845CAAFE61135841CA3CB_13</vt:lpwstr>
  </property>
  <property fmtid="{D5CDD505-2E9C-101B-9397-08002B2CF9AE}" pid="4" name="KSOTemplateDocerSaveRecord">
    <vt:lpwstr>eyJoZGlkIjoiOThhZWMxNjU1YTE3ZjI4ODBiN2Q5ZTdlYzAwNWQ0MzQiLCJ1c2VySWQiOiI0NDQ2NDI0NTcifQ==</vt:lpwstr>
  </property>
</Properties>
</file>